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01" w:rsidRPr="002F4D95" w:rsidRDefault="00517801" w:rsidP="002F4D95">
      <w:pPr>
        <w:shd w:val="clear" w:color="auto" w:fill="FFFFFF"/>
        <w:spacing w:after="88" w:line="288" w:lineRule="atLeast"/>
        <w:jc w:val="center"/>
        <w:textAlignment w:val="baseline"/>
        <w:rPr>
          <w:rFonts w:ascii="Times New Roman" w:eastAsia="Times New Roman" w:hAnsi="Times New Roman" w:cs="Times New Roman"/>
          <w:b/>
          <w:bCs/>
          <w:color w:val="1D1D1B"/>
          <w:sz w:val="28"/>
          <w:szCs w:val="28"/>
          <w:lang w:eastAsia="uk-UA"/>
        </w:rPr>
      </w:pPr>
      <w:r w:rsidRPr="002F4D95">
        <w:rPr>
          <w:rFonts w:ascii="Times New Roman" w:eastAsia="Times New Roman" w:hAnsi="Times New Roman" w:cs="Times New Roman"/>
          <w:b/>
          <w:bCs/>
          <w:color w:val="1D1D1B"/>
          <w:sz w:val="28"/>
          <w:szCs w:val="28"/>
          <w:lang w:eastAsia="uk-UA"/>
        </w:rPr>
        <w:br/>
        <w:t>Постанова</w:t>
      </w:r>
    </w:p>
    <w:p w:rsidR="00517801" w:rsidRPr="002F4D95" w:rsidRDefault="00517801" w:rsidP="002F4D95">
      <w:pPr>
        <w:shd w:val="clear" w:color="auto" w:fill="FFFFFF"/>
        <w:spacing w:after="88" w:line="288" w:lineRule="atLeast"/>
        <w:jc w:val="center"/>
        <w:textAlignment w:val="baseline"/>
        <w:rPr>
          <w:rFonts w:ascii="Times New Roman" w:eastAsia="Times New Roman" w:hAnsi="Times New Roman" w:cs="Times New Roman"/>
          <w:b/>
          <w:bCs/>
          <w:color w:val="1D1D1B"/>
          <w:spacing w:val="18"/>
          <w:sz w:val="28"/>
          <w:szCs w:val="28"/>
          <w:lang w:eastAsia="uk-UA"/>
        </w:rPr>
      </w:pPr>
      <w:r w:rsidRPr="002F4D95">
        <w:rPr>
          <w:rFonts w:ascii="Times New Roman" w:eastAsia="Times New Roman" w:hAnsi="Times New Roman" w:cs="Times New Roman"/>
          <w:b/>
          <w:bCs/>
          <w:color w:val="1D1D1B"/>
          <w:spacing w:val="18"/>
          <w:sz w:val="28"/>
          <w:szCs w:val="28"/>
          <w:lang w:eastAsia="uk-UA"/>
        </w:rPr>
        <w:t>від 30 січня 2024 р. № 195</w:t>
      </w:r>
    </w:p>
    <w:p w:rsidR="00517801" w:rsidRPr="002F4D95" w:rsidRDefault="00517801" w:rsidP="002F4D95">
      <w:pPr>
        <w:shd w:val="clear" w:color="auto" w:fill="FFFFFF"/>
        <w:spacing w:line="288" w:lineRule="atLeast"/>
        <w:jc w:val="center"/>
        <w:textAlignment w:val="baseline"/>
        <w:rPr>
          <w:rFonts w:ascii="Times New Roman" w:eastAsia="Times New Roman" w:hAnsi="Times New Roman" w:cs="Times New Roman"/>
          <w:b/>
          <w:bCs/>
          <w:color w:val="1D1D1B"/>
          <w:sz w:val="28"/>
          <w:szCs w:val="28"/>
          <w:lang w:eastAsia="uk-UA"/>
        </w:rPr>
      </w:pPr>
      <w:r w:rsidRPr="002F4D95">
        <w:rPr>
          <w:rFonts w:ascii="Times New Roman" w:eastAsia="Times New Roman" w:hAnsi="Times New Roman" w:cs="Times New Roman"/>
          <w:b/>
          <w:bCs/>
          <w:color w:val="1D1D1B"/>
          <w:sz w:val="28"/>
          <w:szCs w:val="28"/>
          <w:lang w:eastAsia="uk-UA"/>
        </w:rPr>
        <w:t>Про внесення змін до додатка до постанови НКРЕКП від 26 грудня 2022 року № 1839 та врегулювання питань щодо провадження ТОВ «ГАЗОРОЗПОДІЛЬНІ МЕРЕЖІ УКРАЇНИ» діяльності з розподілу природного газу</w:t>
      </w:r>
    </w:p>
    <w:p w:rsidR="00517801" w:rsidRPr="00517801" w:rsidRDefault="002018CE" w:rsidP="00517801">
      <w:pPr>
        <w:shd w:val="clear" w:color="auto" w:fill="FFFFFF"/>
        <w:spacing w:after="0" w:line="527" w:lineRule="atLeast"/>
        <w:textAlignment w:val="baseline"/>
        <w:rPr>
          <w:rFonts w:ascii="ProbaPro" w:eastAsia="Times New Roman" w:hAnsi="ProbaPro" w:cs="Times New Roman"/>
          <w:color w:val="1D1D1B"/>
          <w:sz w:val="32"/>
          <w:szCs w:val="32"/>
          <w:lang w:eastAsia="uk-UA"/>
        </w:rPr>
      </w:pPr>
      <w:hyperlink r:id="rId4" w:history="1">
        <w:r w:rsidR="00517801" w:rsidRPr="00517801">
          <w:rPr>
            <w:rFonts w:ascii="ProbaPro" w:eastAsia="Times New Roman" w:hAnsi="ProbaPro" w:cs="Times New Roman"/>
            <w:caps/>
            <w:color w:val="4B4B4D"/>
            <w:spacing w:val="19"/>
            <w:sz w:val="19"/>
            <w:lang w:eastAsia="uk-UA"/>
          </w:rPr>
          <w:t>ЛІЦЕНЗУВАННЯ ПРИРОДНОГО ГАЗУ ТА НАФТИ</w:t>
        </w:r>
      </w:hyperlink>
      <w:hyperlink r:id="rId5" w:history="1">
        <w:r w:rsidR="00517801" w:rsidRPr="00517801">
          <w:rPr>
            <w:rFonts w:ascii="ProbaPro" w:eastAsia="Times New Roman" w:hAnsi="ProbaPro" w:cs="Times New Roman"/>
            <w:caps/>
            <w:color w:val="4B4B4D"/>
            <w:spacing w:val="19"/>
            <w:sz w:val="19"/>
            <w:lang w:eastAsia="uk-UA"/>
          </w:rPr>
          <w:t>ПОСТАНОВИ</w:t>
        </w:r>
      </w:hyperlink>
    </w:p>
    <w:p w:rsidR="00517801" w:rsidRPr="002F4D95" w:rsidRDefault="00517801" w:rsidP="00517801">
      <w:pPr>
        <w:shd w:val="clear" w:color="auto" w:fill="FFFFFF"/>
        <w:spacing w:before="100" w:beforeAutospacing="1" w:after="263" w:line="240" w:lineRule="auto"/>
        <w:jc w:val="center"/>
        <w:textAlignment w:val="baseline"/>
        <w:rPr>
          <w:rFonts w:ascii="ProbaPro" w:eastAsia="Times New Roman" w:hAnsi="ProbaPro" w:cs="Times New Roman"/>
          <w:color w:val="000000"/>
          <w:sz w:val="28"/>
          <w:szCs w:val="28"/>
          <w:lang w:eastAsia="uk-UA"/>
        </w:rPr>
      </w:pPr>
      <w:r w:rsidRPr="002F4D95">
        <w:rPr>
          <w:rFonts w:ascii="ProbaPro" w:eastAsia="Times New Roman" w:hAnsi="ProbaPro" w:cs="Times New Roman"/>
          <w:color w:val="000000"/>
          <w:sz w:val="28"/>
          <w:szCs w:val="28"/>
          <w:lang w:eastAsia="uk-UA"/>
        </w:rPr>
        <w:t>НАЦІОНАЛЬНА КОМІСІЯ, ЩО ЗДІЙСНЮЄ ДЕРЖАВНЕ РЕГУЛЮВАННЯ</w:t>
      </w:r>
    </w:p>
    <w:p w:rsidR="00517801" w:rsidRPr="002F4D95" w:rsidRDefault="00517801" w:rsidP="00517801">
      <w:pPr>
        <w:shd w:val="clear" w:color="auto" w:fill="FFFFFF"/>
        <w:spacing w:after="263" w:line="240" w:lineRule="auto"/>
        <w:jc w:val="center"/>
        <w:textAlignment w:val="baseline"/>
        <w:rPr>
          <w:rFonts w:ascii="ProbaPro" w:eastAsia="Times New Roman" w:hAnsi="ProbaPro" w:cs="Times New Roman"/>
          <w:color w:val="000000"/>
          <w:sz w:val="28"/>
          <w:szCs w:val="28"/>
          <w:lang w:eastAsia="uk-UA"/>
        </w:rPr>
      </w:pPr>
      <w:r w:rsidRPr="002F4D95">
        <w:rPr>
          <w:rFonts w:ascii="ProbaPro" w:eastAsia="Times New Roman" w:hAnsi="ProbaPro" w:cs="Times New Roman"/>
          <w:color w:val="000000"/>
          <w:sz w:val="28"/>
          <w:szCs w:val="28"/>
          <w:lang w:eastAsia="uk-UA"/>
        </w:rPr>
        <w:t>У СФЕРАХ ЕНЕРГЕТИКИ ТА КОМУНАЛЬНИХ ПОСЛУГ</w:t>
      </w:r>
    </w:p>
    <w:p w:rsidR="00517801" w:rsidRPr="002F4D95" w:rsidRDefault="00517801" w:rsidP="00517801">
      <w:pPr>
        <w:shd w:val="clear" w:color="auto" w:fill="FFFFFF"/>
        <w:spacing w:after="263" w:line="240" w:lineRule="auto"/>
        <w:jc w:val="center"/>
        <w:textAlignment w:val="baseline"/>
        <w:rPr>
          <w:rFonts w:ascii="ProbaPro" w:eastAsia="Times New Roman" w:hAnsi="ProbaPro" w:cs="Times New Roman"/>
          <w:color w:val="000000"/>
          <w:sz w:val="28"/>
          <w:szCs w:val="28"/>
          <w:lang w:eastAsia="uk-UA"/>
        </w:rPr>
      </w:pPr>
      <w:r w:rsidRPr="002F4D95">
        <w:rPr>
          <w:rFonts w:ascii="ProbaPro" w:eastAsia="Times New Roman" w:hAnsi="ProbaPro" w:cs="Times New Roman"/>
          <w:color w:val="000000"/>
          <w:sz w:val="28"/>
          <w:szCs w:val="28"/>
          <w:lang w:eastAsia="uk-UA"/>
        </w:rPr>
        <w:t>ПОСТАНОВА</w:t>
      </w:r>
    </w:p>
    <w:p w:rsidR="00517801" w:rsidRPr="002F4D95" w:rsidRDefault="00517801" w:rsidP="00517801">
      <w:pPr>
        <w:shd w:val="clear" w:color="auto" w:fill="FFFFFF"/>
        <w:spacing w:after="263" w:line="240" w:lineRule="auto"/>
        <w:jc w:val="center"/>
        <w:textAlignment w:val="baseline"/>
        <w:rPr>
          <w:rFonts w:ascii="ProbaPro" w:eastAsia="Times New Roman" w:hAnsi="ProbaPro" w:cs="Times New Roman"/>
          <w:color w:val="000000"/>
          <w:sz w:val="28"/>
          <w:szCs w:val="28"/>
          <w:lang w:eastAsia="uk-UA"/>
        </w:rPr>
      </w:pPr>
      <w:r w:rsidRPr="002F4D95">
        <w:rPr>
          <w:rFonts w:ascii="ProbaPro" w:eastAsia="Times New Roman" w:hAnsi="ProbaPro" w:cs="Times New Roman"/>
          <w:color w:val="000000"/>
          <w:sz w:val="28"/>
          <w:szCs w:val="28"/>
          <w:lang w:eastAsia="uk-UA"/>
        </w:rPr>
        <w:t>30.01.2024 № 195</w:t>
      </w:r>
    </w:p>
    <w:p w:rsidR="00517801" w:rsidRPr="002F4D95" w:rsidRDefault="00517801" w:rsidP="002F4D9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b/>
          <w:bCs/>
          <w:color w:val="000000"/>
          <w:sz w:val="28"/>
          <w:szCs w:val="28"/>
          <w:lang w:eastAsia="uk-UA"/>
        </w:rPr>
        <w:t>Про внесення змін до додатка до постанови НКРЕКП від 26 грудня 2022 року № 1839 та врегулювання питань щодо провадження ТОВ «ГАЗОРОЗПОДІЛЬНІ МЕРЕЖІ УКРАЇНИ» діяльності з розподілу природного газу</w:t>
      </w:r>
    </w:p>
    <w:p w:rsidR="002F4D95" w:rsidRDefault="002F4D95"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Відповідно до законів України «Про Національну комісію, що здійснює державне регулювання у сферах енергетики та комунальних послуг», «Про ринок природного газу», Порядку ліцензування видів господарської діяльності, державне регулювання яких здійснюється Національною комісією, що здійснює державне регулювання у сферах енергетики та комунальних послуг, затвердженого постановою Національної комісії, що здійснює державне регулювання у сферах енергетики та комунальних послуг від 03 березня 2020 року № 548, та постанови Національної комісії, що здійснює державне регулювання у сферах енергетики та комунальних послуг, від 25 квітня 2023 року № 728 «Про врегулювання окремих питань, пов’язаних з діяльністю суб’єктів природних монополій на ринку природного газу під час дії воєнного стану» Національна комісія, що здійснює державне регулювання у сферах енергетики та комунальних послуг, ПОСТАНОВЛЯЄ:</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 Унести зміни до додатка до постанови Національної комісії, що здійснює державне регулювання у сферах енергетики та комунальних послуг, від 26 грудня 2022 року № 1839 «Про видачу ліцензії з розподілу природного газу ТОВ «ГАЗОРОЗПОДІЛЬНІ МЕРЕЖІ УКРАЇНИ», виклавши його в новій редакції, що додається.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2. Зобов’язати ТОВАРИСТВО З ОБМЕЖЕНОЮ ВІДПОВІДАЛЬНІСТЮ «ГАЗОРОЗПОДІЛЬНІ МЕРЕЖІ УКРАЇНИ» (код ЄДРПОУ 44907200):</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1) до 31 грудня 2024 року забезпечити виконання зобов’язань, покладених на ПРИВАТНЕ АКЦІОНЕРНЕ ТОВАРИСТВО ПО ГАЗОПОСТАЧАННЮ ТА ГАЗИФІКАЦІЇ «ТЕРНОПІЛЬГАЗ» (код ЄДРПОУ 03353503) (далі ‒ ПРАТ «ТЕРНОПІЛЬГАЗ»), за результатами здійснених НКРЕКП заходів державного контролю діяльності ПРАТ «ТЕРНОПІЛЬГАЗ» з розподілу природного газу за попередні роки, та які будуть покладені за результатами заходів державного контролю НКРЕКП діяльності ПРАТ «ТЕРНОПІЛЬГАЗ» за 2023 ‒ 2024 роки, у частині: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прийняття на баланс ТЕРНОПІЛЬСЬКОЇ ФІЛІЇ ТОВАРИСТВА З ОБМЕЖЕНОЮ ВІДПОВІДАЛЬНІСТЮ «ГАЗОРОЗПОДІЛЬНІ МЕРЕЖІ УКРАЇНИ» з балансу ПРАТ «ТЕРНОПІЛЬГАЗ» вузлів обліку природного газу, у тому числі тих, що були встановлені (замінені);</w:t>
      </w:r>
    </w:p>
    <w:p w:rsidR="00517801" w:rsidRPr="002F4D95" w:rsidRDefault="00517801" w:rsidP="002F4D9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виконання в повному обсязі заходів Плану розвитку газорозподільної системи на 2020 ‒ 2029 роки газорозподільного підприємства ПРАТ «ТЕРНОПІЛЬГАЗ», затвердженого постановою НКРЕКП від 24 грудня 2019 року № 3084, Плану розвитку газорозподільної системи на 2021 ‒ 2030 роки газорозподільного підприємства ПРАТ «ТЕРНОПІЛЬГАЗ», затвердженого постановою НКРЕКП 16 грудня 2020 року № 2480, Плану розвитку газорозподільної системи на 2022 </w:t>
      </w:r>
      <w:bookmarkStart w:id="0" w:name="_Hlk157502286"/>
      <w:r w:rsidRPr="002F4D95">
        <w:rPr>
          <w:rFonts w:ascii="Times New Roman" w:eastAsia="Times New Roman" w:hAnsi="Times New Roman" w:cs="Times New Roman"/>
          <w:color w:val="004BC1"/>
          <w:sz w:val="28"/>
          <w:szCs w:val="28"/>
          <w:bdr w:val="none" w:sz="0" w:space="0" w:color="auto" w:frame="1"/>
          <w:lang w:eastAsia="uk-UA"/>
        </w:rPr>
        <w:t>‒</w:t>
      </w:r>
      <w:bookmarkEnd w:id="0"/>
      <w:r w:rsidRPr="002F4D95">
        <w:rPr>
          <w:rFonts w:ascii="Times New Roman" w:eastAsia="Times New Roman" w:hAnsi="Times New Roman" w:cs="Times New Roman"/>
          <w:color w:val="000000"/>
          <w:sz w:val="28"/>
          <w:szCs w:val="28"/>
          <w:lang w:eastAsia="uk-UA"/>
        </w:rPr>
        <w:t> 2031 роки газорозподільного підприємства ПРАТ «ТЕРНОПІЛЬГАЗ», затвердженого постановою НКРЕКП від 22 грудня 2021 року № 2805, Плану розвитку газорозподільної системи на 2023 ‒ 2032 роки газорозподільного підприємства ПРАТ «ТЕРНОПІЛЬГАЗ», затвердженого постановою НКРЕКП від 19 грудня 2022 року № 1710, та передачі створених активів на баланс ТЕРНОПІЛЬСЬКОЇ ФІЛІЇ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виконання інших зобов’язань, покладених НКРЕКП на ПРАТ «ТЕРНОПІЛЬГАЗ» за результатами заходів державного контролю ліцензованої діяльності ПРАТ «ТЕРНОПІЛЬГАЗ»;</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2) за результатами заходу державного контролю діяльності ПРАТ «ТЕРНОПІЛЬГАЗ» з розподілу природного газу за 2024 рік у місячний термін подати до НКРЕКП зміни до інвестиційної програми ТЕРНОПІЛЬСЬКОЇ ФІЛІЇ ТОВАРИСТВА З ОБМЕЖЕНОЮ ВІДПОВІДАЛЬНІСТЮ «ГАЗОРОЗПОДІЛЬНІ МЕРЕЖІ УКРАЇНИ» на 2025 рік (План розвитку газорозподільної системи ТЕРНОПІЛЬСЬКОЇ ФІЛІЇ ТОВАРИСТВА З ОБМЕЖЕНОЮ ВІДПОВІДАЛЬНІСТЮ «ГАЗОРОЗПОДІЛЬНІ МЕРЕЖІ УКРАЇНИ» на 2025 – 2034 роки), згідно з якими передбачити додаткові заходи на суму коштів, що були визначені як плановані тарифні джерела фінансування інвестиційних програм</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ПРАТ «ТЕРНОПІЛЬГАЗ» на 2024 рік (за період з 01 січня 2024 року по 31 січня 2024 року) зменшені на фактично використані кошти згідно з постановою НКРЕКП від 17 березня 2022 року № 348 «Про врегулювання окремих питань забезпечення безпеки розподілу, транспортування та зберігання природного газу у період дії воєнного стану в Україні».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3. Протягом десяти днів з дня прийняття цієї постанови </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ТОВ «ГАЗОРОЗПОДІЛЬНІ МЕРЕЖІ УКРАЇНИ» має повідомити споживачів природного газу на території ліцензованої діяльності ТЕРНОПІЛЬСЬКОЇ ФІЛІЇ ТОВАРИСТВА З ОБМЕЖЕНОЮ ВІДПОВІДАЛЬНІСТЮ «ГАЗОРОЗПОДІЛЬНІ МЕРЕЖІ УКРАЇНИ» про зупинення дії ліцензії з розподілу природного газу ПРАТ «ТЕРНОПІЛЬГАЗ» та щодо зміни місць провадження (розширення території) господарської діяльності з розподілу природного газу ТОВ «ГАЗОРОЗПОДІЛЬНІ МЕРЕЖІ УКРАЇНИ» на територію провадження господарської діяльності з розподілу природного газу ПРАТ «ТЕРНОПІЛЬГАЗ», а також про необхідність здійснення споживачами природного газу оплати за надані послуги розподілу природного газу з 01 лютого 2024 року на рахунок ТОВ «ГАЗОРОЗПОДІЛЬНІ МЕРЕЖІ УКРАЇНИ».</w:t>
      </w:r>
    </w:p>
    <w:p w:rsidR="00517801" w:rsidRPr="002F4D95" w:rsidRDefault="00517801" w:rsidP="002F4D9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4. </w:t>
      </w:r>
      <w:bookmarkStart w:id="1" w:name="_Hlk157009169"/>
      <w:r w:rsidRPr="002F4D95">
        <w:rPr>
          <w:rFonts w:ascii="Times New Roman" w:eastAsia="Times New Roman" w:hAnsi="Times New Roman" w:cs="Times New Roman"/>
          <w:color w:val="004BC1"/>
          <w:sz w:val="28"/>
          <w:szCs w:val="28"/>
          <w:bdr w:val="none" w:sz="0" w:space="0" w:color="auto" w:frame="1"/>
          <w:lang w:eastAsia="uk-UA"/>
        </w:rPr>
        <w:t>Зобов’язати ТОВ «ГАЗОРОЗПОДІЛЬНІ МЕРЕЖІ УКРАЇНИ» до </w:t>
      </w:r>
      <w:bookmarkEnd w:id="1"/>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01 березня 2024 року укласти з власниками газорозподільних систем, які підключені до мереж ТОВ «ГАЗОРОЗПОДІЛЬНІ МЕРЕЖІ УКРАЇНИ» (або на території ліцензованої діяльності якого знаходяться споживачі, підключені до цих газорозподільних систем), договори про експлуатацію таких газорозподільних систем або договори господарського відання чи користування з передачею газорозподільних систем на баланс ТОВ «ГАЗОРОЗПОДІЛЬНІ МЕРЕЖІ УКРАЇНИ» відповідно до вимог пункту 2 глави 1 розділу ІІІ Кодексу газорозподільних систем, затвердженого постановою НКРЕКП від 30 вересня 2015 року № 2494.</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5. Ця постанова набирає чинності з 01 лютого 2024 року, крім пункту 3, який набирає чинності з дня прийняття цієї постанови.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Голова НКРЕКП          Костянтин УЩАПОВСЬКИЙ</w:t>
      </w:r>
    </w:p>
    <w:p w:rsidR="00517801" w:rsidRPr="002F4D95" w:rsidRDefault="00517801" w:rsidP="002F4D9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bookmarkStart w:id="2" w:name="_Hlk56157100"/>
      <w:r w:rsidRPr="002F4D95">
        <w:rPr>
          <w:rFonts w:ascii="Times New Roman" w:eastAsia="Times New Roman" w:hAnsi="Times New Roman" w:cs="Times New Roman"/>
          <w:color w:val="004BC1"/>
          <w:sz w:val="28"/>
          <w:szCs w:val="28"/>
          <w:bdr w:val="none" w:sz="0" w:space="0" w:color="auto" w:frame="1"/>
          <w:lang w:eastAsia="uk-UA"/>
        </w:rPr>
        <w:t> </w:t>
      </w:r>
      <w:bookmarkEnd w:id="2"/>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Додаток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до постанови НКРЕКП</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26.12.2022 № 1839</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(у редакції постанови НКРЕКП</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від 30.01.2024 № 195)</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Територія, де знаходиться газорозподільна система, що перебуває у власності, господарському віданні, користуванні чи експлуатації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 КРОПИВНИЦЬКА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Кіровоградська область (крім м. Гайворон), селище міського типу Донець та село Копанка Ізюмського району Харківської області.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2. ДНІПРОВСЬКА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міста Дніпро та Підгородне, селища міського типу Слобожанське та Обухівка, села Олександрівка, Горянівське, Новоолександрівка, Дороге, Братське, Дніпрове, Кам'янка, Старі Кодаки, Волоське, Ракшівка, Миколаївка, Новотаромське, Пашена Балка, Сурсько-Литовське, селища Горького, Дослідне, Шевченка Дніпровського району Дніпропетровської області.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3. ХАРКІВСЬКА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Харківська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Богодухівський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Ізюмський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Красноградський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Куп'янський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Лозівський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Чугуївський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Харківський район (крім території ХАРКІВСЬКОЇ МІСЬКОЇ ФІЛІЇ ТОВАРИСТВА З ОБМЕЖЕНОЮ ВІДПОВІДАЛЬНІСТЮ «ГАЗОРОЗПОДІЛЬНІ МЕРЕЖІ УКРАЇНИ»), у тому числі:</w:t>
      </w:r>
    </w:p>
    <w:p w:rsidR="00517801" w:rsidRPr="002F4D95" w:rsidRDefault="00517801" w:rsidP="002F4D9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Харків: </w:t>
      </w:r>
      <w:bookmarkStart w:id="3" w:name="_Hlk140848604"/>
      <w:r w:rsidRPr="002F4D95">
        <w:rPr>
          <w:rFonts w:ascii="Times New Roman" w:eastAsia="Times New Roman" w:hAnsi="Times New Roman" w:cs="Times New Roman"/>
          <w:color w:val="004BC1"/>
          <w:sz w:val="28"/>
          <w:szCs w:val="28"/>
          <w:bdr w:val="none" w:sz="0" w:space="0" w:color="auto" w:frame="1"/>
          <w:lang w:eastAsia="uk-UA"/>
        </w:rPr>
        <w:t>(</w:t>
      </w:r>
      <w:bookmarkEnd w:id="3"/>
      <w:r w:rsidRPr="002F4D95">
        <w:rPr>
          <w:rFonts w:ascii="Times New Roman" w:eastAsia="Times New Roman" w:hAnsi="Times New Roman" w:cs="Times New Roman"/>
          <w:color w:val="000000"/>
          <w:sz w:val="28"/>
          <w:szCs w:val="28"/>
          <w:lang w:eastAsia="uk-UA"/>
        </w:rPr>
        <w:t>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4. ХАРКІВСЬКА МІСЬКА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Харків (крім території ХАРКІВСЬКОЇ ФІЛІЇ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Харківська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Харківський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Безлюдівка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Манченки;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Пісочин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селище міського типу Покотилівка;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Циркуни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Мищенки;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Нестеренки;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Санжари;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Ударне;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Горіхове;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Ржавець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Затишне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Лісне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Мала Данилівка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Черкаська Лозова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Чайківка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5. КРИВОРІЗЬКА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Криворізький район Дніпропетровської області: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Кривий Ріг (крім житлового масиву Інгулець Інгулецького району);</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Анастасівка;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Андрусівка;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Базарове;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Братсько-Семенівка;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Бурлацьке;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Веселе;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Веселий Кут;</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Високе Поле;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Вільне;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Вільний Посад;</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Вільний Табір;</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Водяне;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Гейківка;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Глеюватка;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Гомельське;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Грузька Григорівка;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Грузьке;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Данилівка;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Дніпровка;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Дружба;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Запорожець;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Зелене Поле;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Зелений Гай;</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Зелений Луг;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Златопіль;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Златоустівка;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Золота Поляна;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Зоря;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села Іванівка (Лозуватська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Інгулець;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Калинівка;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Кам'яне Поле;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Кам'янське;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Коломійцеве;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Красівське;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Красна Балка;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Красне;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Кривбас;</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Кудашівка;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Лісове;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Лісопитомник;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Лозуватка;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Львів;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Мар'янівка;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Маяк;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Мусіївка;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Надеждівка;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Надія;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Недайвода;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Нова Зоря;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Новий Кременчук;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Новий Мир;</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Новий Шлях;</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Нові Садки;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Новоганнівка;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Новогригорівка;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Новожитомир;</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Новоіванівка;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Новолозуватка;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Новомайське;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Новомар'янівське;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Новопілля;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Новопокровка;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Новоселівка;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Павлівка;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Пичугине;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Радіонівка;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Радушне;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Раєво-Олександрівка;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Ранній Ранок;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Романівка;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Рудничне;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Садове;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Софіївка;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Степове;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Суворовка;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Тернівка;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Тернуватка;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Трудове;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Христофорівка;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Чабанове;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Червоне;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Червоні Поди;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Червона Поляна;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Чкаловка;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Шевченківське;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Шевченкове;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Широке.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6. ЖИТОМИРСЬКА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Житомирська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Бердичівський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Коростенський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Звягельський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Житомирський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Житомир;</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Радомишль;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Чуднів;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Брусилів;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Городок;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Корнин;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Любар;</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Миропіль;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Новоборова;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Новогуйвинськ;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Попільня;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Пулини;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Романів;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Хорошів;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Черняхів;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Андрушки;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Березівка;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Високе;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Вишевичі;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Вільшанка;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Волиця;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Глибочиця;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Курне;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Оліївка;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Потіївка;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Станишівка;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Тетерівка;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Вінницька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Вінницький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Бухни;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Морозівка;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Хмільницький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Махаринці.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7. ЛЬВІВСЬКА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Львівська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Дрогобицький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Золочівський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Львівський район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Самбірський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Стрийський район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Червоноградський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Яворівський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8. КИЇВСЬКА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Київська область, у тому числі: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Козин Обухівського району, крім: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Гатне Фастівського району, крім: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Новосілки Фастівського району, крім: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Чабани Фастівського району, крім: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Хотів Обухівського району, крім: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Київ: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Пуща-Водиця: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Дарницький район (Осокорки):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Горенка (Пуща-Озерна):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Черкаська область, Лисянський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Боярка;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Чаплинка;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Шушківка.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9. СУМСЬКА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Сумська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Харківська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Богодухівський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Мойка.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10. ВІННИЦЬКА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Вінницька область (крім сіл Якушинці, Зарванці Вінницького району, селища міського типу Кирнасівка, сіл Одая, Нестерварка, Федьківка, Дранка, Тиманівка, Клебань, Копіївка, селища Марково Тульчинського району, сіл Пилипи-Борівські, Калинка Томашпільського району, сіл Сокіл, Моївка, Борівка, села Грабовець Могилів-Подільського району, села Махаринці Хмільницького району, сіл Бухни, Морозівка Вінницького району, </w:t>
      </w:r>
      <w:r w:rsidRPr="002F4D95">
        <w:rPr>
          <w:rFonts w:ascii="Times New Roman" w:eastAsia="Times New Roman" w:hAnsi="Times New Roman" w:cs="Times New Roman"/>
          <w:color w:val="000000"/>
          <w:sz w:val="28"/>
          <w:szCs w:val="28"/>
          <w:lang w:eastAsia="uk-UA"/>
        </w:rPr>
        <w:lastRenderedPageBreak/>
        <w:t>(конфіденційна інформація) міста Вінниці та сіл Переорки, Агрономічне (конфіденційна інформація) Вінницького району);</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Кіровоградська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Гайворон.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11. ДНІПРОПЕТРОВСЬКА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Дніпропетровська область, у тому числі: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Дніпровський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Китайгород;</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Рудка;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Кравцівка;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Рибалки;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Щербинівка;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Любимівка (Любимівська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Перше Травня;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Ляшківка;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Орлівка;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Шарівка;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Залелія;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Нетесівка;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Лозуватка;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Степове (Миколаївська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Могилів;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Проточі;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Новопідкряж;</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Супина;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Цибульківка;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Єгорине;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Зубківка;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Катеринівка;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Молодіжне;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Плавещина (Могилівська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Салівка;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Новопокровка;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Котлярівка;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Малинове;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Павлівка;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Пропашне;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Багате;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Суданівка;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Водяне;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Товариський Труд;</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Олександропіль;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Вільне;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Кринички;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Михайлівка (Новопокровська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Новоандріївка;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Петриківка;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Тихе;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Іверське;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Мала Калинівка;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Миропіль;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Розтання;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Ганно-Мусіївка;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Миколаївка;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Петриківка;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Мала Петриківка;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Сотницьке;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Хутірське;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Єлизаветівка;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Іванівка (Петриківська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Гречане;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Клешнівка;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Куліші;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Курилівка;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Лобойківка;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Чаплинка;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Улянівка;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Шульгівка (Петриківська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Плавещина (Петриківська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Сорочине;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Спаське;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Дмитрівка;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Хуторо-Губиниха;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Святовасилівка;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Рясне;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Орлове;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Чорнопарівка;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Шульгівка (Святовасилівська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Наталівка;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Хижине;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Промінь;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Дальнє;</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Матросове;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Якимівка;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Новомар'ївка;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Незабудине (Святовасилівська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Чернігівка;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Березнуватівка;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Межове;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Балівка;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Партизанське;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Степове (Слобожанська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Солоне;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Аполлонівка;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Гончарка;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Дніпровське;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Сергіївка;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Надіївка;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Василівка (Слобожанська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Кам'яне;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Новоселівка (Солонянська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Червонокам'яне;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Малозахарине;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Сонячне;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Широке;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Тритузне;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Шестипілля;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Військове;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Вовніги;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Гроза;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Калинівка (Солонянська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Петро-Свистунове;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Башмачка;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Панькове;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Любимівка (Солонянська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Микільське-на-Дніпрі;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Звонецьке;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Звонецький Хутір;</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Оріхове;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Письмечеве;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Безбородькове;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Привільне;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Малинівка;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Микільське;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Новотернуватка;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Петрівське;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Трудолюбівка;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Маяк;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Гайдамацьке;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Сурсько-Михайлівка;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селище міського типу Царичанка;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Драгівка;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Дубове;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Калинівка (Царичанська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Лисківка;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Селянівка;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Тарасівка;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Турове;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Бабайківка;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Івано-Яризівка;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Кущівка;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Новостроївка;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Михайлівка (Царичанська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Гнатівка;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Прядівка;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Юр’ївка;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Ненадівка;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Преображенка;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Чумаки;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Зоря;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Приют;</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Іванівка (Чумаківська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Новоспаське;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Тарасо-Шевченківка;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Криворізький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місто Апостолове;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Українка (Апостолівська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Новомар'янівка;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Перше Травня (Апостолівська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Новосеменівка;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Запорізьке (Апостолівська міська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Нова Січ;</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Михайлівка (Апостолівська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Широчани;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Михайло-Заводське;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Катеринівка (Апостолівська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Кам'янка (Апостолівська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Жовте (Апостолівська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Червона Колона;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Вакулове;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Нововасилівка;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Нові Ковна;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Жовте (Вакулівська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Гречані Поди;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Калинівка (Гречаноподівська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Красний Під;</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Миролюбівка;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Свистунове;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Трудолюбівка (Гречаноподівська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Степове (Гречаноподівська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Водяне (Гречаноподівська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Кряжове;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Пологи;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Олександрівка (Гречаноподівська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Грушівка;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Гранітне;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Усть-Кам'янка;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Токівське;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Червоний Тік;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Девладове;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Водяне (Девладівська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Гончарове;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Мар’є-Дмитрівка;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Кринички;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Андріївка (Девладівська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Криничувате;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Макорти;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Ордо-Василівка;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Кодак;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Мар'ївка (Девлатівська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Райполе;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Сергіївка;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Зеленодольськ;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Мала Костромка;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Велика Костромка;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Мар'янське;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Карпівка;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Вишневе (Карпівська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Зелений Гай;</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Розівка;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Тихий Став;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Цвіткове;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Широка Дача;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Новомалинівка;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Зелений Став;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Олександрія;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Плугатар;</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Червоне;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Явдотівка;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Андріївка (Карпівська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житловий масив Інгулець Інгулецького районну міста Кривий Ріг;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Вільне (Новотрудівська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Єлизаветпілля;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Новоукраїнське;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Нива Трудова;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Зоряне;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Солдатське;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Новолатівка;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Інгулець (Новолатівська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Стародобровільське;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Зелена Балка;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Макарівка;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Червоний Ранок;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селище міського типу Софіївка;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Любимівка;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Петрове;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Запорізьке (Софіївська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Братське;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Миколаївка;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Володимирівка;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Лошкарівка;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Новоюлівка;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Авдотівка;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Новопетрівка;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Степове (Софіївська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Трудолюбівка (Софіївська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Кам'янка (Софіївська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Вишневе (Софіївська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Ізлучисте;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Новохортиця;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Олексіївка;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Широке;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Благодатне (Широківська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Григорівка;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Дачне (Широківська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Запоріжжя (Широківська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Надія (Широківська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Шестірня;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Ганнівка;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Новокурське;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Кам’янський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Нікопольський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Новомосковський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Павлоградський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Синельниківський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Запорізька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Пологівський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Темирівка;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Полтавська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Полтавський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Придніпрянське.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12. ІВАНО-ФРАНКІВСЬКА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Івано-Франківська область, у тому числі: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Івано-Франківський район (крім міста Тисмениця та селищ міського типу Єзупіль, Лисець, сіл Братківці, Березівка, Вільшаниця, Ганнусівка, Добровляни, Довге, Драгомирчани, Клубівці, Козина, Колодіївка, Красилівка, Липівка, Майдан, Марківці, Милування, Н. Кривотули, Одаї, Підпечери, Побережжя, Пшеничники, Посіч, Погоня, Радча, Рибне, Рошнів, Сілець, Слобідка, С. Кривотули, Старий Лисець, Стебник, Стриганці, Тязів, Тарновиця, Узин, Хом'яківка, Чорнолізці, Н. Гута);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Тернопільська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Чортківський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Діброва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Затишне;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Бобрівники;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Вербка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Кременецький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Комарівка;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Тернопільський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Підвисоке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13. МИКОЛАЇВСЬКА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Миколаївська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14. ХМЕЛЬНИЦЬКА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Хмельницька область, у тому числі: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Кам'янець-Подільський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Хмельницький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Шепетівський район (крім міста Шепетівка, сіл Білокриниччя, Городище, Городнявка, Онишківці, Курганівка, Корпилівка, Корчик, Красносілка, Лозичне, Лотівка, Михайлючка, Пашуки (Судилківська ОТГ), Плесна, Пліщин, Романів, Серединці, Судилків, Траулин, Хролін, Хутір, Цмівка, В. Шкарівка, Коськів, Ленківці та селища міського типу Гриців).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15. ВОЛИНСЬКА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Волинська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16. ЧЕРКАСЬКА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Черкаський район, у тому числі місто Черкаси;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Звенигородський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Золотоніський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Уманський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Жашків;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Монастирище;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Соколівка;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Лемищиха;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Бузівка;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 Хутори;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Олександрівка;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Острожани;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Тетерівка;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Сорокотяга;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Баштечки;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Скибин;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Нагірна;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Конела;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Королівка;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Безпечна;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Конельська;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Пугачівка (Жашківська МГ);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Литвинівка;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Житники;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Охматів;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Кривчунка;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Цибулів;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Антоніна;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Бачкурино;</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Долинка;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Зарубенці;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Зюбриха;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Івахни;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Княжа Криниця;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Княжики;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Копіювата;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Лесько;</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Лукашівка;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Матвіїха;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Новосілка;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Попудня;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Сатанівка;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Теолин;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Халаїдово;</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Шарнопіль.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17. ЧЕРНІГІВСЬКА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Чернігівська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18. ЗАКАРПАТСЬКА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Закарпатська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19. РІВНЕНСЬКА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Рівненська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20. ТЕРНОПІЛЬСЬКА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Тернопільська область, у тому числі: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Кременецький район (крім міста Кременець, сіл: Горинка, Підлісці, Бонівка, Лідихів, Великі Млинівці, Білокриниця, Мала Андруга, Веселівка, Богданівка, Будки, Велігури, Дверець, Дунаїв, Жолоби, Кімната, Колосова, Крутнів, Новий Кокорів, Старий Кокорів, Комарівка, Куликів, Кушлин, Лопушне, Лосятин, Підлісне, Плоске, Попівці, Раславка, Ридомиль, Розтоки, Рудка, Савчинці, Сапанів, Чугалі, Шпиколоси, Борщівка, Зеблази, вулиці (конфіденційна інформація) села Старий Почаїв);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Тернопільський район (крім міста Тернопіль, селищ міського типу Велика Березовиця, Великі Бірки, сіл: Ангелівка, Бiла, Бiлоскiрка, Баворiв, Байкiвцi, Буцнів, Великі Гаї, Гаї-Гречинські, Гаї-Шевченківські, Великий Глибочок, Грабовець, Дичкiв, Дубiвцi, Соборне, Застiнка, Застав'є, Івачiв Горішній, Івачiв Долішній, Ігровиця, Йосипiвка, Кип'ячка, Козiвка (Великогаївська ТГ), Костянтинiвка, Красiвка, Курники, Лозова, Велика Лука, Лучка, Мар'янiвка, Миролюбiвка, Мишковичi, Настасiв, Острiв, Пiдгородне, Петриків, Плотича, Прошова, Романiвка, Серединки, Скоморохи, Смикiвцi, Смолянка, Стегникiвцi, Ступки, Товстолуг, Теофілівка, Хатки, Малий Ходачкiв, Чернелiв-Руський, Чистилiв, Шляхтинцi, вулиці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Чортківський район (крім вулиць (конфіденційна інформація) села Діброва; вулиці (конфіденційна інформація) села Вербка; села Затишне; села Бобрівники).</w:t>
      </w:r>
    </w:p>
    <w:p w:rsidR="00CB0F93" w:rsidRPr="002F4D95" w:rsidRDefault="00CB0F93" w:rsidP="002F4D95">
      <w:pPr>
        <w:jc w:val="both"/>
        <w:rPr>
          <w:rFonts w:ascii="Times New Roman" w:hAnsi="Times New Roman" w:cs="Times New Roman"/>
          <w:sz w:val="28"/>
          <w:szCs w:val="28"/>
        </w:rPr>
      </w:pPr>
    </w:p>
    <w:sectPr w:rsidR="00CB0F93" w:rsidRPr="002F4D95" w:rsidSect="00CB0F9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dirty" w:grammar="clean"/>
  <w:defaultTabStop w:val="708"/>
  <w:hyphenationZone w:val="425"/>
  <w:characterSpacingControl w:val="doNotCompress"/>
  <w:compat/>
  <w:rsids>
    <w:rsidRoot w:val="00517801"/>
    <w:rsid w:val="002018CE"/>
    <w:rsid w:val="002F4D95"/>
    <w:rsid w:val="00517801"/>
    <w:rsid w:val="00CB0F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7801"/>
    <w:rPr>
      <w:color w:val="0000FF"/>
      <w:u w:val="single"/>
    </w:rPr>
  </w:style>
  <w:style w:type="character" w:styleId="a4">
    <w:name w:val="FollowedHyperlink"/>
    <w:basedOn w:val="a0"/>
    <w:uiPriority w:val="99"/>
    <w:semiHidden/>
    <w:unhideWhenUsed/>
    <w:rsid w:val="00517801"/>
    <w:rPr>
      <w:color w:val="800080"/>
      <w:u w:val="single"/>
    </w:rPr>
  </w:style>
  <w:style w:type="paragraph" w:styleId="a5">
    <w:name w:val="Normal (Web)"/>
    <w:basedOn w:val="a"/>
    <w:uiPriority w:val="99"/>
    <w:semiHidden/>
    <w:unhideWhenUsed/>
    <w:rsid w:val="005178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517801"/>
    <w:rPr>
      <w:b/>
      <w:bCs/>
    </w:rPr>
  </w:style>
</w:styles>
</file>

<file path=word/webSettings.xml><?xml version="1.0" encoding="utf-8"?>
<w:webSettings xmlns:r="http://schemas.openxmlformats.org/officeDocument/2006/relationships" xmlns:w="http://schemas.openxmlformats.org/wordprocessingml/2006/main">
  <w:divs>
    <w:div w:id="1625771365">
      <w:bodyDiv w:val="1"/>
      <w:marLeft w:val="0"/>
      <w:marRight w:val="0"/>
      <w:marTop w:val="0"/>
      <w:marBottom w:val="0"/>
      <w:divBdr>
        <w:top w:val="none" w:sz="0" w:space="0" w:color="auto"/>
        <w:left w:val="none" w:sz="0" w:space="0" w:color="auto"/>
        <w:bottom w:val="none" w:sz="0" w:space="0" w:color="auto"/>
        <w:right w:val="none" w:sz="0" w:space="0" w:color="auto"/>
      </w:divBdr>
      <w:divsChild>
        <w:div w:id="594486030">
          <w:marLeft w:val="0"/>
          <w:marRight w:val="0"/>
          <w:marTop w:val="0"/>
          <w:marBottom w:val="439"/>
          <w:divBdr>
            <w:top w:val="none" w:sz="0" w:space="0" w:color="auto"/>
            <w:left w:val="none" w:sz="0" w:space="0" w:color="auto"/>
            <w:bottom w:val="none" w:sz="0" w:space="0" w:color="auto"/>
            <w:right w:val="none" w:sz="0" w:space="0" w:color="auto"/>
          </w:divBdr>
          <w:divsChild>
            <w:div w:id="1481196275">
              <w:marLeft w:val="0"/>
              <w:marRight w:val="0"/>
              <w:marTop w:val="0"/>
              <w:marBottom w:val="0"/>
              <w:divBdr>
                <w:top w:val="none" w:sz="0" w:space="0" w:color="auto"/>
                <w:left w:val="none" w:sz="0" w:space="0" w:color="auto"/>
                <w:bottom w:val="none" w:sz="0" w:space="0" w:color="auto"/>
                <w:right w:val="none" w:sz="0" w:space="0" w:color="auto"/>
              </w:divBdr>
              <w:divsChild>
                <w:div w:id="473105495">
                  <w:marLeft w:val="0"/>
                  <w:marRight w:val="0"/>
                  <w:marTop w:val="88"/>
                  <w:marBottom w:val="88"/>
                  <w:divBdr>
                    <w:top w:val="none" w:sz="0" w:space="0" w:color="auto"/>
                    <w:left w:val="none" w:sz="0" w:space="0" w:color="auto"/>
                    <w:bottom w:val="none" w:sz="0" w:space="0" w:color="auto"/>
                    <w:right w:val="none" w:sz="0" w:space="0" w:color="auto"/>
                  </w:divBdr>
                </w:div>
                <w:div w:id="2072579779">
                  <w:marLeft w:val="53"/>
                  <w:marRight w:val="0"/>
                  <w:marTop w:val="88"/>
                  <w:marBottom w:val="88"/>
                  <w:divBdr>
                    <w:top w:val="none" w:sz="0" w:space="0" w:color="auto"/>
                    <w:left w:val="none" w:sz="0" w:space="0" w:color="auto"/>
                    <w:bottom w:val="none" w:sz="0" w:space="0" w:color="auto"/>
                    <w:right w:val="none" w:sz="0" w:space="0" w:color="auto"/>
                  </w:divBdr>
                </w:div>
              </w:divsChild>
            </w:div>
            <w:div w:id="2021809925">
              <w:marLeft w:val="0"/>
              <w:marRight w:val="0"/>
              <w:marTop w:val="527"/>
              <w:marBottom w:val="527"/>
              <w:divBdr>
                <w:top w:val="none" w:sz="0" w:space="0" w:color="auto"/>
                <w:left w:val="none" w:sz="0" w:space="0" w:color="auto"/>
                <w:bottom w:val="none" w:sz="0" w:space="0" w:color="auto"/>
                <w:right w:val="none" w:sz="0" w:space="0" w:color="auto"/>
              </w:divBdr>
            </w:div>
            <w:div w:id="1418868530">
              <w:marLeft w:val="0"/>
              <w:marRight w:val="0"/>
              <w:marTop w:val="0"/>
              <w:marBottom w:val="0"/>
              <w:divBdr>
                <w:top w:val="none" w:sz="0" w:space="0" w:color="auto"/>
                <w:left w:val="none" w:sz="0" w:space="0" w:color="auto"/>
                <w:bottom w:val="none" w:sz="0" w:space="0" w:color="auto"/>
                <w:right w:val="none" w:sz="0" w:space="0" w:color="auto"/>
              </w:divBdr>
            </w:div>
            <w:div w:id="189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rc.gov.ua/tag/postanovi" TargetMode="External"/><Relationship Id="rId4" Type="http://schemas.openxmlformats.org/officeDocument/2006/relationships/hyperlink" Target="https://www.nerc.gov.ua/tag/litsenzuvannya-postachannya-prirodnogo-gaz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14722</Words>
  <Characters>8393</Characters>
  <Application>Microsoft Office Word</Application>
  <DocSecurity>0</DocSecurity>
  <Lines>69</Lines>
  <Paragraphs>46</Paragraphs>
  <ScaleCrop>false</ScaleCrop>
  <Company/>
  <LinksUpToDate>false</LinksUpToDate>
  <CharactersWithSpaces>23069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Cheremshuk</cp:lastModifiedBy>
  <cp:revision>4</cp:revision>
  <dcterms:created xsi:type="dcterms:W3CDTF">2024-02-21T10:12:00Z</dcterms:created>
  <dcterms:modified xsi:type="dcterms:W3CDTF">2024-02-21T14:40:00Z</dcterms:modified>
</cp:coreProperties>
</file>