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CDE45" w14:textId="0D18700C" w:rsidR="00866EDA" w:rsidRPr="00866EDA" w:rsidRDefault="00A04A9A" w:rsidP="00866EDA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6EDA">
        <w:rPr>
          <w:rFonts w:ascii="Times New Roman" w:hAnsi="Times New Roman" w:cs="Times New Roman"/>
          <w:b/>
          <w:bCs/>
          <w:sz w:val="24"/>
          <w:szCs w:val="24"/>
        </w:rPr>
        <w:t xml:space="preserve">Перелік змін, </w:t>
      </w:r>
      <w:r w:rsidRPr="00866EDA">
        <w:rPr>
          <w:rFonts w:ascii="Times New Roman" w:hAnsi="Times New Roman" w:cs="Times New Roman"/>
          <w:sz w:val="24"/>
          <w:szCs w:val="24"/>
        </w:rPr>
        <w:t>що вносяться до</w:t>
      </w:r>
      <w:r w:rsidRPr="00866E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6EDA" w:rsidRPr="00866EDA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додатку 1 «Інформація про необхідні технічні, якісні та кількісні характеристики предмета закупівлі</w:t>
      </w:r>
      <w:r w:rsidRPr="00866ED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866EDA">
        <w:rPr>
          <w:rFonts w:ascii="Times New Roman" w:hAnsi="Times New Roman" w:cs="Times New Roman"/>
          <w:sz w:val="24"/>
          <w:szCs w:val="24"/>
        </w:rPr>
        <w:t xml:space="preserve">тендерної документації </w:t>
      </w:r>
      <w:r w:rsidR="00866EDA">
        <w:rPr>
          <w:rFonts w:ascii="Times New Roman" w:hAnsi="Times New Roman" w:cs="Times New Roman"/>
          <w:sz w:val="24"/>
          <w:szCs w:val="24"/>
        </w:rPr>
        <w:br/>
      </w:r>
      <w:r w:rsidRPr="00866EDA">
        <w:rPr>
          <w:rFonts w:ascii="Times New Roman" w:hAnsi="Times New Roman" w:cs="Times New Roman"/>
          <w:sz w:val="24"/>
          <w:szCs w:val="24"/>
        </w:rPr>
        <w:t xml:space="preserve">КП «Теплокомуненерго» м. Монастирище </w:t>
      </w:r>
      <w:r w:rsidRPr="00866ED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 предметом закупівлі:</w:t>
      </w:r>
      <w:r w:rsidRPr="00866EDA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bookmarkStart w:id="0" w:name="_Hlk132715215"/>
      <w:r w:rsidR="00866EDA" w:rsidRPr="00866E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="00866EDA" w:rsidRPr="0086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руба </w:t>
      </w:r>
      <w:r w:rsidR="00866EDA" w:rsidRPr="00866E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попередньо ізольована, подвійна, із зшитого поліетилена </w:t>
      </w:r>
      <w:r w:rsidR="00866EDA" w:rsidRPr="00866E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</w:t>
      </w:r>
      <w:r w:rsidR="00866EDA" w:rsidRPr="00866ED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66EDA" w:rsidRPr="00866E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Xa</w:t>
      </w:r>
      <w:r w:rsidR="00866EDA" w:rsidRPr="00866E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яка відповідає </w:t>
      </w:r>
      <w:r w:rsidR="00866EDA" w:rsidRPr="00866E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DIN</w:t>
      </w:r>
      <w:r w:rsidR="00866EDA" w:rsidRPr="0086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16892/16893 </w:t>
      </w:r>
      <w:r w:rsidR="00866EDA" w:rsidRPr="00866E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ДСТУ Б В.2.7-143:2007 (</w:t>
      </w:r>
      <w:r w:rsidR="00866EDA" w:rsidRPr="00866E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</w:t>
      </w:r>
      <w:r w:rsidR="00866EDA" w:rsidRPr="0086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EDA" w:rsidRPr="00866E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ISO</w:t>
      </w:r>
      <w:r w:rsidR="00866EDA" w:rsidRPr="0086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15875-2</w:t>
      </w:r>
      <w:r w:rsidR="00866EDA" w:rsidRPr="00866E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та супутні вироби </w:t>
      </w:r>
      <w:bookmarkEnd w:id="0"/>
      <w:r w:rsidR="00866EDA" w:rsidRPr="00866E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(код ДК </w:t>
      </w:r>
      <w:r w:rsidR="00866EDA" w:rsidRPr="00866ED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021:2015 – 44160000-9 — Магістралі, трубопроводи, труби, обсадні труби, тюбінги та супутні вироби)</w:t>
      </w:r>
      <w:r w:rsidR="00866EDA" w:rsidRPr="00866EDA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:</w:t>
      </w:r>
    </w:p>
    <w:p w14:paraId="793E160D" w14:textId="02B7E60C" w:rsidR="00A04A9A" w:rsidRDefault="00A04A9A" w:rsidP="00866EDA">
      <w:pPr>
        <w:pStyle w:val="a4"/>
        <w:widowControl w:val="0"/>
        <w:tabs>
          <w:tab w:val="left" w:pos="1260"/>
        </w:tabs>
        <w:spacing w:before="0" w:after="0"/>
        <w:jc w:val="center"/>
        <w:rPr>
          <w:b/>
          <w:bCs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611"/>
        <w:gridCol w:w="2641"/>
        <w:gridCol w:w="5091"/>
      </w:tblGrid>
      <w:tr w:rsidR="00A04A9A" w14:paraId="7259F02C" w14:textId="77777777" w:rsidTr="00866EDA">
        <w:tc>
          <w:tcPr>
            <w:tcW w:w="3003" w:type="dxa"/>
          </w:tcPr>
          <w:p w14:paraId="5B27AC89" w14:textId="77777777" w:rsidR="00A04A9A" w:rsidRDefault="00A04A9A" w:rsidP="00A04A9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90" w:type="dxa"/>
          </w:tcPr>
          <w:p w14:paraId="1C12E8B3" w14:textId="3C4C6034" w:rsidR="00A04A9A" w:rsidRDefault="00A04A9A" w:rsidP="00A04A9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Попередня редакція</w:t>
            </w:r>
          </w:p>
        </w:tc>
        <w:tc>
          <w:tcPr>
            <w:tcW w:w="4750" w:type="dxa"/>
          </w:tcPr>
          <w:p w14:paraId="1C75E835" w14:textId="36F11DB0" w:rsidR="00A04A9A" w:rsidRDefault="00A04A9A" w:rsidP="00A04A9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Редакція із змінами</w:t>
            </w:r>
          </w:p>
        </w:tc>
      </w:tr>
      <w:tr w:rsidR="00A04A9A" w:rsidRPr="00866EDA" w14:paraId="57C76336" w14:textId="77777777" w:rsidTr="00866EDA">
        <w:tc>
          <w:tcPr>
            <w:tcW w:w="3003" w:type="dxa"/>
          </w:tcPr>
          <w:p w14:paraId="37118627" w14:textId="6A47CAAA" w:rsidR="00866EDA" w:rsidRPr="00866EDA" w:rsidRDefault="00866EDA" w:rsidP="00866ED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Абзац дев’ятий розділу «</w:t>
            </w:r>
            <w:r w:rsidRPr="00866E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Предмет закупівлі повинен відповідати наступним параметрам: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»</w:t>
            </w:r>
          </w:p>
          <w:p w14:paraId="7F5FCDA7" w14:textId="7AFF8155" w:rsidR="00A04A9A" w:rsidRDefault="00A04A9A" w:rsidP="00A04A9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90" w:type="dxa"/>
          </w:tcPr>
          <w:p w14:paraId="77DED343" w14:textId="3083B499" w:rsidR="00A04A9A" w:rsidRPr="00A04A9A" w:rsidRDefault="00866EDA" w:rsidP="00A04A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  <w:p w14:paraId="196181AC" w14:textId="77777777" w:rsidR="00A04A9A" w:rsidRDefault="00A04A9A" w:rsidP="00A04A9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50" w:type="dxa"/>
          </w:tcPr>
          <w:p w14:paraId="2003170C" w14:textId="7B34B92B" w:rsidR="00866EDA" w:rsidRPr="00866EDA" w:rsidRDefault="00866EDA" w:rsidP="00866EDA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866E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Залежність максимального</w:t>
            </w:r>
            <w:r w:rsidR="000D35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робочого</w:t>
            </w:r>
            <w:r w:rsidRPr="00866E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тиску від температури: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5"/>
              <w:gridCol w:w="426"/>
              <w:gridCol w:w="426"/>
              <w:gridCol w:w="426"/>
              <w:gridCol w:w="426"/>
              <w:gridCol w:w="426"/>
              <w:gridCol w:w="366"/>
              <w:gridCol w:w="366"/>
              <w:gridCol w:w="366"/>
              <w:gridCol w:w="366"/>
              <w:gridCol w:w="366"/>
            </w:tblGrid>
            <w:tr w:rsidR="00866EDA" w:rsidRPr="00866EDA" w14:paraId="64690794" w14:textId="77777777" w:rsidTr="00866EDA">
              <w:tc>
                <w:tcPr>
                  <w:tcW w:w="788" w:type="dxa"/>
                </w:tcPr>
                <w:p w14:paraId="3197EBB2" w14:textId="77777777" w:rsidR="00866EDA" w:rsidRPr="00866EDA" w:rsidRDefault="00866EDA" w:rsidP="00866EDA">
                  <w:pPr>
                    <w:suppressAutoHyphens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uk-UA" w:eastAsia="zh-CN"/>
                    </w:rPr>
                  </w:pPr>
                  <w:r w:rsidRPr="00866EDA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uk-UA" w:eastAsia="zh-CN"/>
                    </w:rPr>
                    <w:t>Температура, Цельсія</w:t>
                  </w:r>
                </w:p>
              </w:tc>
              <w:tc>
                <w:tcPr>
                  <w:tcW w:w="512" w:type="dxa"/>
                </w:tcPr>
                <w:p w14:paraId="2C39D851" w14:textId="77777777" w:rsidR="00866EDA" w:rsidRPr="00866EDA" w:rsidRDefault="00866EDA" w:rsidP="00866EDA">
                  <w:pPr>
                    <w:suppressAutoHyphens/>
                    <w:contextualSpacing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uk-UA" w:eastAsia="zh-CN"/>
                    </w:rPr>
                  </w:pPr>
                  <w:r w:rsidRPr="00866EDA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uk-UA" w:eastAsia="zh-CN"/>
                    </w:rPr>
                    <w:t>10</w:t>
                  </w:r>
                </w:p>
              </w:tc>
              <w:tc>
                <w:tcPr>
                  <w:tcW w:w="270" w:type="dxa"/>
                </w:tcPr>
                <w:p w14:paraId="422C6E4C" w14:textId="77777777" w:rsidR="00866EDA" w:rsidRPr="00866EDA" w:rsidRDefault="00866EDA" w:rsidP="00866EDA">
                  <w:pPr>
                    <w:suppressAutoHyphens/>
                    <w:contextualSpacing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uk-UA" w:eastAsia="zh-CN"/>
                    </w:rPr>
                  </w:pPr>
                  <w:r w:rsidRPr="00866EDA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uk-UA" w:eastAsia="zh-CN"/>
                    </w:rPr>
                    <w:t>20</w:t>
                  </w:r>
                </w:p>
              </w:tc>
              <w:tc>
                <w:tcPr>
                  <w:tcW w:w="390" w:type="dxa"/>
                </w:tcPr>
                <w:p w14:paraId="3D902F67" w14:textId="77777777" w:rsidR="00866EDA" w:rsidRPr="00866EDA" w:rsidRDefault="00866EDA" w:rsidP="00866EDA">
                  <w:pPr>
                    <w:suppressAutoHyphens/>
                    <w:contextualSpacing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uk-UA" w:eastAsia="zh-CN"/>
                    </w:rPr>
                  </w:pPr>
                  <w:r w:rsidRPr="00866EDA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uk-UA" w:eastAsia="zh-CN"/>
                    </w:rPr>
                    <w:t>30</w:t>
                  </w:r>
                </w:p>
              </w:tc>
              <w:tc>
                <w:tcPr>
                  <w:tcW w:w="390" w:type="dxa"/>
                </w:tcPr>
                <w:p w14:paraId="5F775B6E" w14:textId="77777777" w:rsidR="00866EDA" w:rsidRPr="00866EDA" w:rsidRDefault="00866EDA" w:rsidP="00866EDA">
                  <w:pPr>
                    <w:suppressAutoHyphens/>
                    <w:contextualSpacing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uk-UA" w:eastAsia="zh-CN"/>
                    </w:rPr>
                  </w:pPr>
                  <w:r w:rsidRPr="00866EDA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uk-UA" w:eastAsia="zh-CN"/>
                    </w:rPr>
                    <w:t>40</w:t>
                  </w:r>
                </w:p>
              </w:tc>
              <w:tc>
                <w:tcPr>
                  <w:tcW w:w="390" w:type="dxa"/>
                </w:tcPr>
                <w:p w14:paraId="00FB8313" w14:textId="77777777" w:rsidR="00866EDA" w:rsidRPr="00866EDA" w:rsidRDefault="00866EDA" w:rsidP="00866EDA">
                  <w:pPr>
                    <w:suppressAutoHyphens/>
                    <w:contextualSpacing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uk-UA" w:eastAsia="zh-CN"/>
                    </w:rPr>
                  </w:pPr>
                  <w:r w:rsidRPr="00866EDA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uk-UA" w:eastAsia="zh-CN"/>
                    </w:rPr>
                    <w:t>50</w:t>
                  </w:r>
                </w:p>
              </w:tc>
              <w:tc>
                <w:tcPr>
                  <w:tcW w:w="340" w:type="dxa"/>
                </w:tcPr>
                <w:p w14:paraId="4BE029E5" w14:textId="77777777" w:rsidR="00866EDA" w:rsidRPr="00866EDA" w:rsidRDefault="00866EDA" w:rsidP="00866EDA">
                  <w:pPr>
                    <w:suppressAutoHyphens/>
                    <w:contextualSpacing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uk-UA" w:eastAsia="zh-CN"/>
                    </w:rPr>
                  </w:pPr>
                  <w:r w:rsidRPr="00866EDA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uk-UA" w:eastAsia="zh-CN"/>
                    </w:rPr>
                    <w:t>60</w:t>
                  </w:r>
                </w:p>
              </w:tc>
              <w:tc>
                <w:tcPr>
                  <w:tcW w:w="340" w:type="dxa"/>
                </w:tcPr>
                <w:p w14:paraId="71B426A8" w14:textId="77777777" w:rsidR="00866EDA" w:rsidRPr="00866EDA" w:rsidRDefault="00866EDA" w:rsidP="00866EDA">
                  <w:pPr>
                    <w:suppressAutoHyphens/>
                    <w:contextualSpacing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uk-UA" w:eastAsia="zh-CN"/>
                    </w:rPr>
                  </w:pPr>
                  <w:r w:rsidRPr="00866EDA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uk-UA" w:eastAsia="zh-CN"/>
                    </w:rPr>
                    <w:t>70</w:t>
                  </w:r>
                </w:p>
              </w:tc>
              <w:tc>
                <w:tcPr>
                  <w:tcW w:w="340" w:type="dxa"/>
                </w:tcPr>
                <w:p w14:paraId="273BF8FD" w14:textId="77777777" w:rsidR="00866EDA" w:rsidRPr="00866EDA" w:rsidRDefault="00866EDA" w:rsidP="00866EDA">
                  <w:pPr>
                    <w:suppressAutoHyphens/>
                    <w:contextualSpacing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uk-UA" w:eastAsia="zh-CN"/>
                    </w:rPr>
                  </w:pPr>
                  <w:r w:rsidRPr="00866EDA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uk-UA" w:eastAsia="zh-CN"/>
                    </w:rPr>
                    <w:t>80</w:t>
                  </w:r>
                </w:p>
              </w:tc>
              <w:tc>
                <w:tcPr>
                  <w:tcW w:w="340" w:type="dxa"/>
                </w:tcPr>
                <w:p w14:paraId="42CBC26C" w14:textId="77777777" w:rsidR="00866EDA" w:rsidRPr="00866EDA" w:rsidRDefault="00866EDA" w:rsidP="00866EDA">
                  <w:pPr>
                    <w:suppressAutoHyphens/>
                    <w:contextualSpacing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uk-UA" w:eastAsia="zh-CN"/>
                    </w:rPr>
                  </w:pPr>
                  <w:r w:rsidRPr="00866EDA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uk-UA" w:eastAsia="zh-CN"/>
                    </w:rPr>
                    <w:t>90</w:t>
                  </w:r>
                </w:p>
              </w:tc>
              <w:tc>
                <w:tcPr>
                  <w:tcW w:w="340" w:type="dxa"/>
                </w:tcPr>
                <w:p w14:paraId="1DEE9223" w14:textId="77777777" w:rsidR="00866EDA" w:rsidRPr="00866EDA" w:rsidRDefault="00866EDA" w:rsidP="00866EDA">
                  <w:pPr>
                    <w:suppressAutoHyphens/>
                    <w:contextualSpacing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uk-UA" w:eastAsia="zh-CN"/>
                    </w:rPr>
                  </w:pPr>
                  <w:r w:rsidRPr="00866EDA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uk-UA" w:eastAsia="zh-CN"/>
                    </w:rPr>
                    <w:t>95</w:t>
                  </w:r>
                </w:p>
              </w:tc>
            </w:tr>
            <w:tr w:rsidR="00866EDA" w:rsidRPr="00866EDA" w14:paraId="11967C2E" w14:textId="77777777" w:rsidTr="00866EDA">
              <w:trPr>
                <w:trHeight w:val="333"/>
              </w:trPr>
              <w:tc>
                <w:tcPr>
                  <w:tcW w:w="788" w:type="dxa"/>
                </w:tcPr>
                <w:p w14:paraId="2C54A1D1" w14:textId="77777777" w:rsidR="00866EDA" w:rsidRPr="00866EDA" w:rsidRDefault="00866EDA" w:rsidP="00866EDA">
                  <w:pPr>
                    <w:suppressAutoHyphens/>
                    <w:contextualSpacing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uk-UA" w:eastAsia="zh-CN"/>
                    </w:rPr>
                  </w:pPr>
                  <w:r w:rsidRPr="00866EDA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uk-UA" w:eastAsia="zh-CN"/>
                    </w:rPr>
                    <w:t>Тиск, бар</w:t>
                  </w:r>
                </w:p>
              </w:tc>
              <w:tc>
                <w:tcPr>
                  <w:tcW w:w="512" w:type="dxa"/>
                </w:tcPr>
                <w:p w14:paraId="45D09BBA" w14:textId="77777777" w:rsidR="00866EDA" w:rsidRPr="00866EDA" w:rsidRDefault="00866EDA" w:rsidP="00866EDA">
                  <w:pPr>
                    <w:suppressAutoHyphens/>
                    <w:contextualSpacing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uk-UA" w:eastAsia="zh-CN"/>
                    </w:rPr>
                  </w:pPr>
                  <w:r w:rsidRPr="00866EDA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uk-UA" w:eastAsia="zh-CN"/>
                    </w:rPr>
                    <w:t>17,1</w:t>
                  </w:r>
                </w:p>
              </w:tc>
              <w:tc>
                <w:tcPr>
                  <w:tcW w:w="270" w:type="dxa"/>
                </w:tcPr>
                <w:p w14:paraId="6EF30F60" w14:textId="77777777" w:rsidR="00866EDA" w:rsidRPr="00866EDA" w:rsidRDefault="00866EDA" w:rsidP="00866EDA">
                  <w:pPr>
                    <w:suppressAutoHyphens/>
                    <w:contextualSpacing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uk-UA" w:eastAsia="zh-CN"/>
                    </w:rPr>
                  </w:pPr>
                  <w:r w:rsidRPr="00866EDA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uk-UA" w:eastAsia="zh-CN"/>
                    </w:rPr>
                    <w:t>15,1</w:t>
                  </w:r>
                </w:p>
              </w:tc>
              <w:tc>
                <w:tcPr>
                  <w:tcW w:w="390" w:type="dxa"/>
                </w:tcPr>
                <w:p w14:paraId="7DA1C9C9" w14:textId="77777777" w:rsidR="00866EDA" w:rsidRPr="00866EDA" w:rsidRDefault="00866EDA" w:rsidP="00866EDA">
                  <w:pPr>
                    <w:suppressAutoHyphens/>
                    <w:contextualSpacing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uk-UA" w:eastAsia="zh-CN"/>
                    </w:rPr>
                  </w:pPr>
                  <w:r w:rsidRPr="00866EDA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uk-UA" w:eastAsia="zh-CN"/>
                    </w:rPr>
                    <w:t>13,4</w:t>
                  </w:r>
                </w:p>
              </w:tc>
              <w:tc>
                <w:tcPr>
                  <w:tcW w:w="390" w:type="dxa"/>
                </w:tcPr>
                <w:p w14:paraId="42C72439" w14:textId="77777777" w:rsidR="00866EDA" w:rsidRPr="00866EDA" w:rsidRDefault="00866EDA" w:rsidP="00866EDA">
                  <w:pPr>
                    <w:suppressAutoHyphens/>
                    <w:contextualSpacing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uk-UA" w:eastAsia="zh-CN"/>
                    </w:rPr>
                  </w:pPr>
                  <w:r w:rsidRPr="00866EDA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uk-UA" w:eastAsia="zh-CN"/>
                    </w:rPr>
                    <w:t>11,9</w:t>
                  </w:r>
                </w:p>
              </w:tc>
              <w:tc>
                <w:tcPr>
                  <w:tcW w:w="390" w:type="dxa"/>
                </w:tcPr>
                <w:p w14:paraId="6CC57074" w14:textId="77777777" w:rsidR="00866EDA" w:rsidRPr="00866EDA" w:rsidRDefault="00866EDA" w:rsidP="00866EDA">
                  <w:pPr>
                    <w:suppressAutoHyphens/>
                    <w:contextualSpacing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uk-UA" w:eastAsia="zh-CN"/>
                    </w:rPr>
                  </w:pPr>
                  <w:r w:rsidRPr="00866EDA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uk-UA" w:eastAsia="zh-CN"/>
                    </w:rPr>
                    <w:t>10,6</w:t>
                  </w:r>
                </w:p>
              </w:tc>
              <w:tc>
                <w:tcPr>
                  <w:tcW w:w="340" w:type="dxa"/>
                </w:tcPr>
                <w:p w14:paraId="6D77F27F" w14:textId="77777777" w:rsidR="00866EDA" w:rsidRPr="00866EDA" w:rsidRDefault="00866EDA" w:rsidP="00866EDA">
                  <w:pPr>
                    <w:suppressAutoHyphens/>
                    <w:contextualSpacing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uk-UA" w:eastAsia="zh-CN"/>
                    </w:rPr>
                  </w:pPr>
                  <w:r w:rsidRPr="00866EDA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uk-UA" w:eastAsia="zh-CN"/>
                    </w:rPr>
                    <w:t>9,5</w:t>
                  </w:r>
                </w:p>
              </w:tc>
              <w:tc>
                <w:tcPr>
                  <w:tcW w:w="340" w:type="dxa"/>
                </w:tcPr>
                <w:p w14:paraId="2D9EE2C1" w14:textId="77777777" w:rsidR="00866EDA" w:rsidRPr="00866EDA" w:rsidRDefault="00866EDA" w:rsidP="00866EDA">
                  <w:pPr>
                    <w:suppressAutoHyphens/>
                    <w:contextualSpacing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uk-UA" w:eastAsia="zh-CN"/>
                    </w:rPr>
                  </w:pPr>
                  <w:r w:rsidRPr="00866EDA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uk-UA" w:eastAsia="zh-CN"/>
                    </w:rPr>
                    <w:t>8,5</w:t>
                  </w:r>
                </w:p>
              </w:tc>
              <w:tc>
                <w:tcPr>
                  <w:tcW w:w="340" w:type="dxa"/>
                </w:tcPr>
                <w:p w14:paraId="436DE041" w14:textId="77777777" w:rsidR="00866EDA" w:rsidRPr="00866EDA" w:rsidRDefault="00866EDA" w:rsidP="00866EDA">
                  <w:pPr>
                    <w:suppressAutoHyphens/>
                    <w:contextualSpacing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uk-UA" w:eastAsia="zh-CN"/>
                    </w:rPr>
                  </w:pPr>
                  <w:r w:rsidRPr="00866EDA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uk-UA" w:eastAsia="zh-CN"/>
                    </w:rPr>
                    <w:t>7,6</w:t>
                  </w:r>
                </w:p>
              </w:tc>
              <w:tc>
                <w:tcPr>
                  <w:tcW w:w="340" w:type="dxa"/>
                </w:tcPr>
                <w:p w14:paraId="6940E4CB" w14:textId="77777777" w:rsidR="00866EDA" w:rsidRPr="00866EDA" w:rsidRDefault="00866EDA" w:rsidP="00866EDA">
                  <w:pPr>
                    <w:suppressAutoHyphens/>
                    <w:contextualSpacing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uk-UA" w:eastAsia="zh-CN"/>
                    </w:rPr>
                  </w:pPr>
                  <w:r w:rsidRPr="00866EDA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uk-UA" w:eastAsia="zh-CN"/>
                    </w:rPr>
                    <w:t>6,9</w:t>
                  </w:r>
                </w:p>
              </w:tc>
              <w:tc>
                <w:tcPr>
                  <w:tcW w:w="340" w:type="dxa"/>
                </w:tcPr>
                <w:p w14:paraId="79962F03" w14:textId="77777777" w:rsidR="00866EDA" w:rsidRPr="00866EDA" w:rsidRDefault="00866EDA" w:rsidP="00866EDA">
                  <w:pPr>
                    <w:suppressAutoHyphens/>
                    <w:contextualSpacing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uk-UA" w:eastAsia="zh-CN"/>
                    </w:rPr>
                  </w:pPr>
                  <w:r w:rsidRPr="00866EDA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uk-UA" w:eastAsia="zh-CN"/>
                    </w:rPr>
                    <w:t>6,6</w:t>
                  </w:r>
                </w:p>
              </w:tc>
            </w:tr>
          </w:tbl>
          <w:p w14:paraId="4CB85CA7" w14:textId="77777777" w:rsidR="00A04A9A" w:rsidRPr="000D2E77" w:rsidRDefault="00A04A9A" w:rsidP="00A04A9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04A9A" w:rsidRPr="000D3594" w14:paraId="5370FBA3" w14:textId="77777777" w:rsidTr="00866EDA">
        <w:tc>
          <w:tcPr>
            <w:tcW w:w="3003" w:type="dxa"/>
          </w:tcPr>
          <w:p w14:paraId="4014AA7A" w14:textId="39D083A7" w:rsidR="00866EDA" w:rsidRPr="00866EDA" w:rsidRDefault="00866EDA" w:rsidP="00866ED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bookmarkStart w:id="1" w:name="_Hlk133494857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Абзац сьомий розділу «</w:t>
            </w:r>
            <w:r w:rsidRPr="00866E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Предмет закупівлі повинен відповідати наступним параметрам: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»</w:t>
            </w:r>
          </w:p>
          <w:p w14:paraId="1735E1B7" w14:textId="2B498F8C" w:rsidR="00A04A9A" w:rsidRDefault="00A04A9A" w:rsidP="00A04A9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90" w:type="dxa"/>
          </w:tcPr>
          <w:p w14:paraId="1729FA36" w14:textId="640100DD" w:rsidR="00866EDA" w:rsidRPr="00866EDA" w:rsidRDefault="00866EDA" w:rsidP="00866EDA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866EDA">
              <w:rPr>
                <w:lang w:val="uk-UA"/>
              </w:rPr>
              <w:t>Теплова ізоляція повинна бути  в</w:t>
            </w:r>
            <w:r w:rsidRPr="00866EDA">
              <w:rPr>
                <w:color w:val="000000"/>
                <w:lang w:val="uk-UA"/>
              </w:rPr>
              <w:t xml:space="preserve">иготовлена з </w:t>
            </w:r>
            <w:r w:rsidRPr="00866EDA">
              <w:rPr>
                <w:lang w:val="uk-UA"/>
              </w:rPr>
              <w:t xml:space="preserve">спіненого поліетилену, що підтверджується у складі пропозиції сертифікатом відповідності з посиланням на ДСТУ Б В.2.5-31-2007 «Трубопроводи попередньо теплоізольовані спіненим поліуретаном». </w:t>
            </w:r>
          </w:p>
          <w:p w14:paraId="0920EDD2" w14:textId="77777777" w:rsidR="00A04A9A" w:rsidRDefault="00A04A9A" w:rsidP="00A04A9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50" w:type="dxa"/>
          </w:tcPr>
          <w:p w14:paraId="36C58C85" w14:textId="77777777" w:rsidR="00866EDA" w:rsidRPr="00866EDA" w:rsidRDefault="00866EDA" w:rsidP="00866EDA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866EDA">
              <w:rPr>
                <w:lang w:val="uk-UA"/>
              </w:rPr>
              <w:t xml:space="preserve">Теплова ізоляція повинна бути виготовлена із двокомпонентної поліуретанової композиції (пінополіуретан), що підтверджується у складі пропозиції сертифікатом відповідності з посиланням на ДСТУ Б В.2.5-31-2007 «Трубопроводи попередньо теплоізольовані спіненим поліуретаном». </w:t>
            </w:r>
          </w:p>
          <w:p w14:paraId="4F503794" w14:textId="77777777" w:rsidR="00A04A9A" w:rsidRPr="000D2E77" w:rsidRDefault="00A04A9A" w:rsidP="00A04A9A">
            <w:pPr>
              <w:jc w:val="center"/>
              <w:rPr>
                <w:b/>
                <w:bCs/>
                <w:lang w:val="uk-UA"/>
              </w:rPr>
            </w:pPr>
          </w:p>
        </w:tc>
      </w:tr>
      <w:bookmarkEnd w:id="1"/>
    </w:tbl>
    <w:p w14:paraId="18459455" w14:textId="77777777" w:rsidR="00A04A9A" w:rsidRPr="00A04A9A" w:rsidRDefault="00A04A9A" w:rsidP="00A04A9A">
      <w:pPr>
        <w:jc w:val="center"/>
        <w:rPr>
          <w:b/>
          <w:bCs/>
          <w:lang w:val="uk-UA"/>
        </w:rPr>
      </w:pPr>
    </w:p>
    <w:sectPr w:rsidR="00A04A9A" w:rsidRPr="00A04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E903F8"/>
    <w:multiLevelType w:val="hybridMultilevel"/>
    <w:tmpl w:val="9BB2900E"/>
    <w:lvl w:ilvl="0" w:tplc="2B606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53C5D"/>
    <w:multiLevelType w:val="hybridMultilevel"/>
    <w:tmpl w:val="2168D76E"/>
    <w:lvl w:ilvl="0" w:tplc="7638CE9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D6"/>
    <w:rsid w:val="000D2E77"/>
    <w:rsid w:val="000D3594"/>
    <w:rsid w:val="00571978"/>
    <w:rsid w:val="006C62D6"/>
    <w:rsid w:val="00866EDA"/>
    <w:rsid w:val="00A0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CD81"/>
  <w15:chartTrackingRefBased/>
  <w15:docId w15:val="{1E041E14-9180-49B6-9D58-F622E16A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бычный (веб)"/>
    <w:basedOn w:val="a"/>
    <w:rsid w:val="00A04A9A"/>
    <w:pPr>
      <w:suppressAutoHyphens/>
      <w:spacing w:before="280" w:after="280" w:line="240" w:lineRule="auto"/>
    </w:pPr>
    <w:rPr>
      <w:rFonts w:ascii="Times New Roman" w:eastAsia="Calibri" w:hAnsi="Times New Roman" w:cs="Times New Roman"/>
      <w:color w:val="00000A"/>
      <w:sz w:val="24"/>
      <w:szCs w:val="24"/>
      <w:lang w:val="uk-UA" w:eastAsia="zh-CN"/>
    </w:rPr>
  </w:style>
  <w:style w:type="paragraph" w:customStyle="1" w:styleId="rvps2">
    <w:name w:val="rvps2"/>
    <w:basedOn w:val="a"/>
    <w:rsid w:val="00A0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04A9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66ED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5</cp:revision>
  <dcterms:created xsi:type="dcterms:W3CDTF">2023-04-27T10:26:00Z</dcterms:created>
  <dcterms:modified xsi:type="dcterms:W3CDTF">2023-05-04T12:35:00Z</dcterms:modified>
</cp:coreProperties>
</file>