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93FB" w14:textId="77777777" w:rsidR="005D77FD" w:rsidRPr="00F314CE" w:rsidRDefault="005D77FD" w:rsidP="005D77FD">
      <w:pPr>
        <w:pageBreakBefore/>
        <w:jc w:val="right"/>
        <w:rPr>
          <w:lang w:val="uk-UA"/>
        </w:rPr>
      </w:pPr>
      <w:r>
        <w:rPr>
          <w:b/>
          <w:bCs/>
          <w:iCs/>
          <w:lang w:val="uk-UA"/>
        </w:rPr>
        <w:t>До</w:t>
      </w:r>
      <w:r w:rsidRPr="00F314CE">
        <w:rPr>
          <w:b/>
          <w:bCs/>
          <w:iCs/>
          <w:lang w:val="uk-UA"/>
        </w:rPr>
        <w:t xml:space="preserve">даток </w:t>
      </w:r>
      <w:r>
        <w:rPr>
          <w:b/>
          <w:bCs/>
          <w:iCs/>
          <w:lang w:val="uk-UA"/>
        </w:rPr>
        <w:t>1</w:t>
      </w:r>
    </w:p>
    <w:p w14:paraId="7833E91C" w14:textId="77777777" w:rsidR="005D77FD" w:rsidRDefault="005D77FD" w:rsidP="005D77FD">
      <w:pPr>
        <w:widowControl w:val="0"/>
        <w:tabs>
          <w:tab w:val="left" w:pos="4860"/>
        </w:tabs>
        <w:autoSpaceDE w:val="0"/>
        <w:jc w:val="right"/>
        <w:rPr>
          <w:b/>
          <w:bCs/>
          <w:i/>
          <w:iCs/>
          <w:lang w:val="uk-UA"/>
        </w:rPr>
      </w:pPr>
    </w:p>
    <w:p w14:paraId="7A82CAB5" w14:textId="77777777" w:rsidR="005D77FD" w:rsidRPr="00F314CE" w:rsidRDefault="005D77FD" w:rsidP="005D77FD">
      <w:pPr>
        <w:tabs>
          <w:tab w:val="left" w:pos="7710"/>
        </w:tabs>
        <w:jc w:val="center"/>
        <w:rPr>
          <w:lang w:val="uk-UA"/>
        </w:rPr>
      </w:pPr>
      <w:r w:rsidRPr="00F314CE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6A7858E" w14:textId="77777777" w:rsidR="005D77FD" w:rsidRPr="00F314CE" w:rsidRDefault="005D77FD" w:rsidP="005D77FD">
      <w:pPr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</w:p>
    <w:p w14:paraId="63BB5F8B" w14:textId="77777777" w:rsidR="005D77FD" w:rsidRDefault="005D77FD" w:rsidP="005D77FD">
      <w:pPr>
        <w:ind w:firstLine="720"/>
        <w:jc w:val="both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70"/>
        <w:gridCol w:w="2440"/>
        <w:gridCol w:w="2403"/>
      </w:tblGrid>
      <w:tr w:rsidR="005D77FD" w:rsidRPr="001E60D0" w14:paraId="0859137F" w14:textId="77777777" w:rsidTr="000364CC">
        <w:tc>
          <w:tcPr>
            <w:tcW w:w="2574" w:type="dxa"/>
            <w:shd w:val="clear" w:color="auto" w:fill="auto"/>
          </w:tcPr>
          <w:p w14:paraId="264D31DD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№ п.п.</w:t>
            </w:r>
          </w:p>
        </w:tc>
        <w:tc>
          <w:tcPr>
            <w:tcW w:w="2574" w:type="dxa"/>
            <w:shd w:val="clear" w:color="auto" w:fill="auto"/>
          </w:tcPr>
          <w:p w14:paraId="7A7EA10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Товар</w:t>
            </w:r>
          </w:p>
        </w:tc>
        <w:tc>
          <w:tcPr>
            <w:tcW w:w="2574" w:type="dxa"/>
            <w:shd w:val="clear" w:color="auto" w:fill="auto"/>
          </w:tcPr>
          <w:p w14:paraId="66F3ACA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Одиниці</w:t>
            </w:r>
          </w:p>
        </w:tc>
        <w:tc>
          <w:tcPr>
            <w:tcW w:w="2574" w:type="dxa"/>
            <w:shd w:val="clear" w:color="auto" w:fill="auto"/>
          </w:tcPr>
          <w:p w14:paraId="2D3293B3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Кількість</w:t>
            </w:r>
          </w:p>
        </w:tc>
      </w:tr>
      <w:tr w:rsidR="005D77FD" w:rsidRPr="001E60D0" w14:paraId="2F989827" w14:textId="77777777" w:rsidTr="000364CC">
        <w:tc>
          <w:tcPr>
            <w:tcW w:w="2574" w:type="dxa"/>
            <w:shd w:val="clear" w:color="auto" w:fill="auto"/>
          </w:tcPr>
          <w:p w14:paraId="5C4D9DF7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lang w:val="uk-UA" w:eastAsia="ru-RU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2A195203" w14:textId="77777777" w:rsidR="00B242DE" w:rsidRPr="00B242DE" w:rsidRDefault="00B242DE" w:rsidP="00B242DE">
            <w:pPr>
              <w:jc w:val="both"/>
              <w:rPr>
                <w:lang w:val="uk-UA" w:eastAsia="ru-RU"/>
              </w:rPr>
            </w:pPr>
            <w:r w:rsidRPr="00B242DE">
              <w:rPr>
                <w:lang w:val="uk-UA" w:eastAsia="ru-RU"/>
              </w:rPr>
              <w:t xml:space="preserve">труба попередньо ізольована, подвійна, із зшитого поліетилена </w:t>
            </w:r>
            <w:r w:rsidRPr="00B242DE">
              <w:rPr>
                <w:lang w:val="en-US" w:eastAsia="ru-RU"/>
              </w:rPr>
              <w:t>PE</w:t>
            </w:r>
            <w:r w:rsidRPr="00B242DE">
              <w:rPr>
                <w:lang w:val="uk-UA" w:eastAsia="ru-RU"/>
              </w:rPr>
              <w:t>-</w:t>
            </w:r>
            <w:r w:rsidRPr="00B242DE">
              <w:rPr>
                <w:lang w:val="en-US" w:eastAsia="ru-RU"/>
              </w:rPr>
              <w:t>Xa</w:t>
            </w:r>
            <w:r w:rsidRPr="00B242DE">
              <w:rPr>
                <w:lang w:val="uk-UA" w:eastAsia="ru-RU"/>
              </w:rPr>
              <w:t xml:space="preserve">, яка відповідає </w:t>
            </w:r>
            <w:r w:rsidRPr="00B242DE">
              <w:rPr>
                <w:lang w:val="en-US" w:eastAsia="ru-RU"/>
              </w:rPr>
              <w:t>DIN</w:t>
            </w:r>
            <w:r w:rsidRPr="00B242DE">
              <w:rPr>
                <w:lang w:val="uk-UA" w:eastAsia="ru-RU"/>
              </w:rPr>
              <w:t xml:space="preserve"> 16892/16893 ДСТУ Б В.2.7-143:2007 (</w:t>
            </w:r>
            <w:r w:rsidRPr="00B242DE">
              <w:rPr>
                <w:lang w:val="en-US" w:eastAsia="ru-RU"/>
              </w:rPr>
              <w:t>EN</w:t>
            </w:r>
            <w:r w:rsidRPr="00B242DE">
              <w:rPr>
                <w:lang w:val="uk-UA" w:eastAsia="ru-RU"/>
              </w:rPr>
              <w:t xml:space="preserve"> </w:t>
            </w:r>
            <w:r w:rsidRPr="00B242DE">
              <w:rPr>
                <w:lang w:val="en-US" w:eastAsia="ru-RU"/>
              </w:rPr>
              <w:t>ISO</w:t>
            </w:r>
            <w:r w:rsidRPr="00B242DE">
              <w:rPr>
                <w:lang w:val="uk-UA" w:eastAsia="ru-RU"/>
              </w:rPr>
              <w:t xml:space="preserve"> 15875-2) </w:t>
            </w:r>
            <w:r w:rsidRPr="00B242DE">
              <w:rPr>
                <w:lang w:val="uk-UA"/>
              </w:rPr>
              <w:t xml:space="preserve">(код ДК </w:t>
            </w:r>
            <w:r w:rsidRPr="00B242DE">
              <w:rPr>
                <w:bCs/>
                <w:lang w:val="uk-UA"/>
              </w:rPr>
              <w:t xml:space="preserve">021:2015 – </w:t>
            </w:r>
            <w:r w:rsidRPr="00B242DE">
              <w:rPr>
                <w:b/>
                <w:lang w:val="uk-UA"/>
              </w:rPr>
              <w:t>44160000-9 — Магістралі, трубопроводи, труби, обсадні труби, тюбінги та супутні вироби)</w:t>
            </w:r>
          </w:p>
          <w:p w14:paraId="4EEC7DEC" w14:textId="286C0998" w:rsidR="005D77FD" w:rsidRPr="009E4FE6" w:rsidRDefault="005D77FD" w:rsidP="00B242DE">
            <w:pPr>
              <w:jc w:val="both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74" w:type="dxa"/>
            <w:shd w:val="clear" w:color="auto" w:fill="auto"/>
          </w:tcPr>
          <w:p w14:paraId="61A7A418" w14:textId="659CA425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Метри в двотрубному вимірі</w:t>
            </w:r>
          </w:p>
        </w:tc>
        <w:tc>
          <w:tcPr>
            <w:tcW w:w="2574" w:type="dxa"/>
            <w:shd w:val="clear" w:color="auto" w:fill="auto"/>
          </w:tcPr>
          <w:p w14:paraId="774F12FE" w14:textId="181FAB0F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894">
              <w:rPr>
                <w:lang w:val="uk-UA"/>
              </w:rPr>
              <w:t>2</w:t>
            </w:r>
          </w:p>
        </w:tc>
      </w:tr>
    </w:tbl>
    <w:p w14:paraId="0C11F001" w14:textId="77777777" w:rsidR="005D77FD" w:rsidRDefault="005D77FD" w:rsidP="005D77FD">
      <w:pPr>
        <w:ind w:firstLine="720"/>
        <w:jc w:val="both"/>
        <w:rPr>
          <w:bCs/>
          <w:lang w:val="uk-UA"/>
        </w:rPr>
      </w:pPr>
    </w:p>
    <w:p w14:paraId="2731160E" w14:textId="77777777" w:rsidR="005D77FD" w:rsidRDefault="005D77FD" w:rsidP="005D77FD">
      <w:pPr>
        <w:jc w:val="both"/>
        <w:rPr>
          <w:lang w:val="uk-UA"/>
        </w:rPr>
      </w:pPr>
      <w:r w:rsidRPr="00E32E64">
        <w:rPr>
          <w:lang w:val="uk-UA"/>
        </w:rPr>
        <w:t>Предмет закупівлі повинен відповідати наступним параметрам:</w:t>
      </w:r>
    </w:p>
    <w:p w14:paraId="726DB4F4" w14:textId="55B11934" w:rsidR="00430783" w:rsidRPr="00430783" w:rsidRDefault="00430783" w:rsidP="00B242DE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Суцільний відрізок по предмету закупівлі</w:t>
      </w:r>
    </w:p>
    <w:p w14:paraId="40C49B02" w14:textId="0AAC01DF" w:rsidR="00561894" w:rsidRPr="00561894" w:rsidRDefault="00B242DE" w:rsidP="00561894">
      <w:pPr>
        <w:pStyle w:val="a6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561894">
        <w:rPr>
          <w:lang w:val="uk-UA"/>
        </w:rPr>
        <w:t xml:space="preserve">Діаметр труби 75мм, умовний прохід труби </w:t>
      </w:r>
      <w:r w:rsidRPr="00561894">
        <w:rPr>
          <w:lang w:val="en-US"/>
        </w:rPr>
        <w:t>DN</w:t>
      </w:r>
      <w:r w:rsidRPr="00561894">
        <w:rPr>
          <w:lang w:val="uk-UA"/>
        </w:rPr>
        <w:t xml:space="preserve"> не менше </w:t>
      </w:r>
      <w:r w:rsidR="0074227B">
        <w:rPr>
          <w:lang w:val="uk-UA"/>
        </w:rPr>
        <w:t>56</w:t>
      </w:r>
      <w:r w:rsidRPr="00561894">
        <w:rPr>
          <w:lang w:val="uk-UA"/>
        </w:rPr>
        <w:t xml:space="preserve"> мм, </w:t>
      </w:r>
      <w:r w:rsidRPr="00561894">
        <w:rPr>
          <w:lang w:val="en-US"/>
        </w:rPr>
        <w:t>SDR</w:t>
      </w:r>
      <w:r w:rsidRPr="00561894">
        <w:rPr>
          <w:lang w:val="uk-UA"/>
        </w:rPr>
        <w:t xml:space="preserve"> 11</w:t>
      </w:r>
      <w:r w:rsidR="00430783" w:rsidRPr="00561894">
        <w:rPr>
          <w:lang w:val="uk-UA"/>
        </w:rPr>
        <w:t xml:space="preserve">, </w:t>
      </w:r>
      <w:r w:rsidR="00561894" w:rsidRPr="00561894">
        <w:rPr>
          <w:lang w:val="uk-UA"/>
        </w:rPr>
        <w:t xml:space="preserve">зовнішній діаметр з ізоляцією </w:t>
      </w:r>
      <w:r w:rsidR="00561894">
        <w:rPr>
          <w:lang w:val="uk-UA"/>
        </w:rPr>
        <w:t>та захисною поліетиленовою оболонкою 200 мм.</w:t>
      </w:r>
    </w:p>
    <w:p w14:paraId="55CED116" w14:textId="42718E8F" w:rsidR="00B242DE" w:rsidRP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Максимальний робочий тиск при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 не менше 6,6 бар. </w:t>
      </w:r>
    </w:p>
    <w:p w14:paraId="7A381946" w14:textId="6D198496" w:rsidR="00B242DE" w:rsidRP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Максимальна робоча температура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С. </w:t>
      </w:r>
    </w:p>
    <w:p w14:paraId="72D67C93" w14:textId="4CD14081" w:rsidR="005D77FD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Діапазон робочих температур від -40 до +95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>С.</w:t>
      </w:r>
    </w:p>
    <w:p w14:paraId="439A4F8F" w14:textId="471FB215" w:rsidR="00430783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783">
        <w:rPr>
          <w:lang w:val="uk-UA"/>
        </w:rPr>
        <w:t xml:space="preserve">В товарі повинна бути обов’язкова наявність киснево-дифузійного бар’єру </w:t>
      </w:r>
      <w:r w:rsidRPr="00430783">
        <w:t>EVOH</w:t>
      </w:r>
      <w:r w:rsidRPr="00430783">
        <w:rPr>
          <w:lang w:val="uk-UA"/>
        </w:rPr>
        <w:t>, який  розташований на зовнішній поверхні труб з РЕ-Ха, та перешкоджає проникненню кисню з повітря до води.</w:t>
      </w:r>
    </w:p>
    <w:p w14:paraId="11EB05E1" w14:textId="63390A90" w:rsidR="00430783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783">
        <w:rPr>
          <w:lang w:val="uk-UA"/>
        </w:rPr>
        <w:t>Теплова ізоляція повинна бути  в</w:t>
      </w:r>
      <w:r w:rsidRPr="00430783">
        <w:rPr>
          <w:color w:val="000000"/>
          <w:lang w:val="uk-UA"/>
        </w:rPr>
        <w:t>иготовлена з спіненого поліетилену</w:t>
      </w:r>
      <w:r w:rsidRPr="00430783">
        <w:rPr>
          <w:lang w:val="uk-UA"/>
        </w:rPr>
        <w:t>, що підтверджується у складі пропозиції сертифікатом відповідності з посиланням на ДСТУ Б В.2.5-</w:t>
      </w:r>
      <w:r w:rsidR="00561894">
        <w:rPr>
          <w:lang w:val="uk-UA"/>
        </w:rPr>
        <w:t>3</w:t>
      </w:r>
      <w:r w:rsidRPr="00430783">
        <w:rPr>
          <w:lang w:val="uk-UA"/>
        </w:rPr>
        <w:t>1-200</w:t>
      </w:r>
      <w:r w:rsidR="00561894">
        <w:rPr>
          <w:lang w:val="uk-UA"/>
        </w:rPr>
        <w:t>7</w:t>
      </w:r>
      <w:r w:rsidRPr="00430783">
        <w:rPr>
          <w:lang w:val="uk-UA"/>
        </w:rPr>
        <w:t xml:space="preserve"> «</w:t>
      </w:r>
      <w:r w:rsidR="00561894">
        <w:rPr>
          <w:lang w:val="uk-UA"/>
        </w:rPr>
        <w:t>Трубопроводи попередньо теплоізольовані спіненим поліуретаном</w:t>
      </w:r>
      <w:r w:rsidRPr="00430783">
        <w:rPr>
          <w:lang w:val="uk-UA"/>
        </w:rPr>
        <w:t xml:space="preserve">». </w:t>
      </w:r>
    </w:p>
    <w:p w14:paraId="1107E75B" w14:textId="0A14B3AB" w:rsidR="00561894" w:rsidRPr="00561894" w:rsidRDefault="00561894" w:rsidP="00561894">
      <w:pPr>
        <w:pStyle w:val="a5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Коефіцієнт теплопровідності теплової ізоляції має бути не більше 0,0218 Вт/м*К для мінімізації теплових втрат на всій ділянці теплової мережі, що підтверджується лабораторними дослідженнями.</w:t>
      </w:r>
    </w:p>
    <w:p w14:paraId="004D55EB" w14:textId="3A4074B6" w:rsidR="00430783" w:rsidRPr="00133B7F" w:rsidRDefault="00430783" w:rsidP="0043078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33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зовнішнього захисного кожух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а:</w:t>
      </w:r>
    </w:p>
    <w:p w14:paraId="5E694D34" w14:textId="77777777" w:rsidR="00561894" w:rsidRPr="00561894" w:rsidRDefault="00561894" w:rsidP="00561894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61894">
        <w:rPr>
          <w:color w:val="000000"/>
          <w:lang w:val="uk-UA"/>
        </w:rPr>
        <w:t xml:space="preserve">Труба захисна (зовнішній кожух) повинна бути з високою гнучкістю та виготовлена з безшовного поліетилену </w:t>
      </w:r>
      <w:r>
        <w:rPr>
          <w:color w:val="000000"/>
        </w:rPr>
        <w:t>PE</w:t>
      </w:r>
      <w:r w:rsidRPr="00561894">
        <w:rPr>
          <w:color w:val="000000"/>
          <w:lang w:val="uk-UA"/>
        </w:rPr>
        <w:t>-</w:t>
      </w:r>
      <w:r>
        <w:rPr>
          <w:color w:val="000000"/>
        </w:rPr>
        <w:t>LLD</w:t>
      </w:r>
      <w:r w:rsidRPr="00561894">
        <w:rPr>
          <w:color w:val="000000"/>
          <w:lang w:val="uk-UA"/>
        </w:rPr>
        <w:t xml:space="preserve"> (для труб діаметром 75мм), та постачатися суцільними відрізками потрібної довжини.</w:t>
      </w:r>
    </w:p>
    <w:p w14:paraId="584E4F8E" w14:textId="085EDE70" w:rsidR="00430783" w:rsidRDefault="00430783" w:rsidP="00430783">
      <w:pPr>
        <w:pStyle w:val="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фітингу:</w:t>
      </w:r>
    </w:p>
    <w:p w14:paraId="20A50F56" w14:textId="340339B4" w:rsidR="00430783" w:rsidRPr="00430783" w:rsidRDefault="00430783" w:rsidP="0043078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Стандартні фітинги, що будуть застосовуватися до монтажу труб, повинні відповідати розмірам, зазначеним у Технічній специфікації цього додатку та вимогам ДСанПіН 2.2.4-171-10. «Гігієнічні вимоги до води питної, призначеної для споживання людиною», що підтверджується у складі пропозиції позитивним висн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вком державної санітарно-епідеміологічної експертизи України.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Монтаж </w:t>
      </w:r>
      <w:r>
        <w:rPr>
          <w:rFonts w:ascii="Times New Roman" w:eastAsia="Times New Roman" w:hAnsi="Times New Roman" w:cs="Times New Roman"/>
          <w:sz w:val="24"/>
          <w:szCs w:val="24"/>
        </w:rPr>
        <w:t>повинен здійснюватися зручно та надійно за допомогою ручних інструментів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гайкових ключів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потребувати додаткових, спеціальних, механічних або гідравлічних інструментів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підтвердження учасник повинен надати у складі своєї пропозиції інформацію та інструкцію </w:t>
      </w:r>
      <w:r w:rsidRPr="00133B7F">
        <w:rPr>
          <w:rFonts w:ascii="Times New Roman" w:eastAsia="Times New Roman" w:hAnsi="Times New Roman" w:cs="Times New Roman"/>
          <w:sz w:val="24"/>
          <w:szCs w:val="24"/>
        </w:rPr>
        <w:t>монтажу фітингу за допомогою ручного інструменту).</w:t>
      </w:r>
    </w:p>
    <w:p w14:paraId="2FCCEAA6" w14:textId="77777777" w:rsidR="005D77FD" w:rsidRDefault="005D77FD" w:rsidP="005D77FD">
      <w:pPr>
        <w:pStyle w:val="a3"/>
        <w:spacing w:before="0" w:after="0"/>
        <w:ind w:firstLine="709"/>
        <w:jc w:val="both"/>
      </w:pPr>
      <w:r>
        <w:rPr>
          <w:color w:val="000000"/>
        </w:rPr>
        <w:t xml:space="preserve">Учасник повинен надати в електронному (сканованому) вигляді в складі своєї пропозиції документи, </w:t>
      </w:r>
      <w:r>
        <w:rPr>
          <w:bCs/>
        </w:rPr>
        <w:t>які підтверджують відповідність пропозиції учасника вказаним технічним, якісним, кількісним та іншим вимогам до предмета закупівлі, а саме надати завірені підписом уповноваженої особи Учасника та його печаткою копії наступних документів:</w:t>
      </w:r>
    </w:p>
    <w:p w14:paraId="6352AE94" w14:textId="77777777" w:rsidR="005D77FD" w:rsidRDefault="005D77FD" w:rsidP="005D77FD">
      <w:pPr>
        <w:pStyle w:val="a3"/>
        <w:spacing w:before="0" w:after="0"/>
        <w:ind w:firstLine="709"/>
        <w:jc w:val="both"/>
        <w:rPr>
          <w:bCs/>
        </w:rPr>
      </w:pPr>
    </w:p>
    <w:p w14:paraId="76006085" w14:textId="77777777" w:rsidR="005D77FD" w:rsidRDefault="005D77FD" w:rsidP="005D77FD">
      <w:pPr>
        <w:numPr>
          <w:ilvl w:val="0"/>
          <w:numId w:val="1"/>
        </w:numPr>
        <w:tabs>
          <w:tab w:val="left" w:pos="1260"/>
        </w:tabs>
        <w:jc w:val="both"/>
        <w:rPr>
          <w:lang w:val="uk-UA"/>
        </w:rPr>
      </w:pPr>
      <w:r w:rsidRPr="001B2846">
        <w:rPr>
          <w:lang w:val="uk-UA" w:eastAsia="uk-UA"/>
        </w:rPr>
        <w:t>Документи, що підтверджують якість Робіт (сертифікати відповідності або інші документи, що підтверджують якість продукції);</w:t>
      </w:r>
    </w:p>
    <w:p w14:paraId="0783B8B8" w14:textId="77777777" w:rsidR="005D77FD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2846">
        <w:rPr>
          <w:rFonts w:ascii="Times New Roman" w:hAnsi="Times New Roman"/>
          <w:sz w:val="24"/>
          <w:szCs w:val="24"/>
        </w:rPr>
        <w:t>Документи, що підтверджують відповідність технічнім, якіснім та кількіснім характеристикам предмета закупівлі</w:t>
      </w:r>
      <w:r>
        <w:rPr>
          <w:rFonts w:ascii="Times New Roman" w:hAnsi="Times New Roman"/>
          <w:sz w:val="24"/>
          <w:szCs w:val="24"/>
        </w:rPr>
        <w:t>, зокрема протоколи випробувань продукції від лабораторії з контролю виробництва;</w:t>
      </w:r>
    </w:p>
    <w:p w14:paraId="63521B9F" w14:textId="77777777" w:rsidR="005D77FD" w:rsidRPr="001B2846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Декларація про відповідність технічному регламенту безпеки обладнання, що працює під тиском;</w:t>
      </w:r>
    </w:p>
    <w:p w14:paraId="5FFA861D" w14:textId="77777777" w:rsidR="005D77FD" w:rsidRPr="00F314CE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про відповідність системи управління, менеджменту якості виробництва продукції вимогам міжнародних стандартів;</w:t>
      </w:r>
    </w:p>
    <w:p w14:paraId="28F80132" w14:textId="77777777" w:rsidR="005D77FD" w:rsidRPr="001B2846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відповідності вимогам охорони оточуючого середовища, екологічного управління ДСТУ, ISO тощо;</w:t>
      </w:r>
    </w:p>
    <w:p w14:paraId="4D529BE7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Гарантійний лист від Учасника, щодо спроможності виконати умови закупівлі в </w:t>
      </w:r>
      <w:r>
        <w:rPr>
          <w:b/>
        </w:rPr>
        <w:t>повному обсязі.</w:t>
      </w:r>
    </w:p>
    <w:p w14:paraId="7533C45B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 Гарантійний лист від Учасника, що </w:t>
      </w:r>
      <w:r>
        <w:rPr>
          <w:lang w:val="uk-UA"/>
        </w:rPr>
        <w:t>матеріали з яких буде виготовлятися предмет закупівлі</w:t>
      </w:r>
      <w:r>
        <w:t>, не перебува</w:t>
      </w:r>
      <w:r>
        <w:rPr>
          <w:lang w:val="uk-UA"/>
        </w:rPr>
        <w:t>ли</w:t>
      </w:r>
      <w:r>
        <w:t xml:space="preserve"> в експлуатації, термін та умови </w:t>
      </w:r>
      <w:r>
        <w:rPr>
          <w:lang w:val="uk-UA"/>
        </w:rPr>
        <w:t>їх</w:t>
      </w:r>
      <w:r>
        <w:t xml:space="preserve"> зберігання не порушені.</w:t>
      </w:r>
    </w:p>
    <w:p w14:paraId="5E00D649" w14:textId="77777777" w:rsidR="005D77FD" w:rsidRDefault="005D77FD" w:rsidP="005D77FD">
      <w:pPr>
        <w:numPr>
          <w:ilvl w:val="0"/>
          <w:numId w:val="1"/>
        </w:numPr>
        <w:jc w:val="both"/>
      </w:pPr>
      <w:r>
        <w:rPr>
          <w:bCs/>
          <w:lang w:val="uk-UA"/>
        </w:rPr>
        <w:t>Якщо учасник торгів, не є виробником предмету закупівлі (дистриб’ютор, дилер, представник), він повинен надати  завірені належним  чином копії наступних документів:</w:t>
      </w:r>
    </w:p>
    <w:p w14:paraId="612998D7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дистриб’юторський (дилерський) договір або лист виробника про представництво його інтересів учасником;</w:t>
      </w:r>
    </w:p>
    <w:p w14:paraId="13D966A5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гарантійний лист на ім’я учасника від підприємства-виробника щодо надання гарантійних та інших зобов’язань, пов’язаних з предметом закупівель, завіреного мокрою печаткою цього підприємства-виробника;</w:t>
      </w:r>
    </w:p>
    <w:p w14:paraId="1643890F" w14:textId="77777777" w:rsidR="005D77FD" w:rsidRPr="001B2846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сертифікати виробника вище вказані в технічних вимогах, завірені мокрою печаткою та підписом уповноваженої особи виробника.</w:t>
      </w:r>
    </w:p>
    <w:p w14:paraId="37EDB202" w14:textId="0AC08B02" w:rsidR="005D77FD" w:rsidRPr="00CC7D4C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Рік виготовлення предмету закупівлі не раніше 2022 року.</w:t>
      </w:r>
    </w:p>
    <w:p w14:paraId="7825C79C" w14:textId="4BC5C830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 (у довільній формі) на товар, який підтверджує, що зазначений товар є оригінальний та відповідає всім технічним та якісним характеристики такого товару;</w:t>
      </w:r>
    </w:p>
    <w:p w14:paraId="5C67A2A8" w14:textId="33CB455D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запропонований товар не менше ніж </w:t>
      </w:r>
      <w:r w:rsidRPr="00FF2AC3">
        <w:rPr>
          <w:rFonts w:ascii="Times New Roman" w:eastAsia="Times New Roman" w:hAnsi="Times New Roman" w:cs="Times New Roman"/>
          <w:sz w:val="24"/>
          <w:szCs w:val="24"/>
        </w:rPr>
        <w:t>24 (двадцять чотири) місяці</w:t>
      </w:r>
      <w:r w:rsidR="00812DCC" w:rsidRPr="00FF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з дати введення в експлуатацію.</w:t>
      </w:r>
    </w:p>
    <w:p w14:paraId="2C24F20E" w14:textId="09160636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лист, що у разі постачання неякісного товару для підтвердження невідповідності якості товару відправляє зразки в незалежну експертну лабораторію, за рахунок учасника;</w:t>
      </w:r>
    </w:p>
    <w:p w14:paraId="159D6A1C" w14:textId="77777777" w:rsidR="00812DCC" w:rsidRPr="004745F2" w:rsidRDefault="00812DCC" w:rsidP="00812DCC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 повинен бути: екологічно безпечним, новим 2022 року випуску</w:t>
      </w:r>
      <w:r w:rsidRPr="004745F2"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раніше не експлуатованим, придатним для використання за призначенням, відповідати визначеним у Технічній специфікації характеристикам та чинним нормам та стандартам України.  </w:t>
      </w:r>
    </w:p>
    <w:p w14:paraId="52FC8325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має бути в тарі (упаковці), яка забезпечує збереження та цілісність товару під час його транспортування і зберігання згідно з вимогами державних стандартів України, технічних умов. Упаковка повинна мати пристосування для можливих перевантажень товару, як за допомогою піднімальних механізмів, так і ручним способом. </w:t>
      </w:r>
    </w:p>
    <w:p w14:paraId="3C400D84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Переміщення, транспортування, навантаження продукції повинно проводять відповідно до вимог ДСТУ. </w:t>
      </w:r>
    </w:p>
    <w:p w14:paraId="00534A16" w14:textId="3FA11C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 товару з доставкою по указаній Замовником адресі повинно проводиться силами та засобами Учасника.</w:t>
      </w:r>
    </w:p>
    <w:p w14:paraId="4F1D8A6B" w14:textId="77777777" w:rsidR="00812DCC" w:rsidRPr="004745F2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випадку порушення поставки належної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товару,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сплачує Замовнику штраф у розмірі 100 % (ста відсотків) від вартості товару неналежної якості.</w:t>
      </w:r>
    </w:p>
    <w:p w14:paraId="0527F0DA" w14:textId="5DF62A99" w:rsidR="00812DCC" w:rsidRPr="00812DCC" w:rsidRDefault="00812DCC" w:rsidP="00812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Вимоги до кількісних, якісних та технічних характеристик предмету закупівлі не виключають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пропозицію еквівалентного товару, що відповідає вимогам до предмету закупівлі.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такі вимоги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призводять до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посилання на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конкретн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тощо, то до такого можна вважати наявним вираз «або еквівалент»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. </w:t>
      </w:r>
    </w:p>
    <w:sectPr w:rsidR="00812DCC" w:rsidRPr="00812DCC" w:rsidSect="005D77F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C51D6"/>
    <w:multiLevelType w:val="multilevel"/>
    <w:tmpl w:val="911E9744"/>
    <w:lvl w:ilvl="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FD5CA3"/>
    <w:multiLevelType w:val="multilevel"/>
    <w:tmpl w:val="5A4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3C7A"/>
    <w:multiLevelType w:val="multilevel"/>
    <w:tmpl w:val="B4EA12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144"/>
    <w:multiLevelType w:val="multilevel"/>
    <w:tmpl w:val="E98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10334"/>
    <w:multiLevelType w:val="multilevel"/>
    <w:tmpl w:val="45D09CF0"/>
    <w:lvl w:ilvl="0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273CBA"/>
    <w:multiLevelType w:val="multilevel"/>
    <w:tmpl w:val="E984288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03F8"/>
    <w:multiLevelType w:val="hybridMultilevel"/>
    <w:tmpl w:val="9BB2900E"/>
    <w:lvl w:ilvl="0" w:tplc="2B606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31"/>
    <w:multiLevelType w:val="multilevel"/>
    <w:tmpl w:val="87D0DF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2"/>
    <w:rsid w:val="00430783"/>
    <w:rsid w:val="00561894"/>
    <w:rsid w:val="005D77FD"/>
    <w:rsid w:val="0074227B"/>
    <w:rsid w:val="008071DD"/>
    <w:rsid w:val="00812DCC"/>
    <w:rsid w:val="00B242DE"/>
    <w:rsid w:val="00CC7D4C"/>
    <w:rsid w:val="00CF61A4"/>
    <w:rsid w:val="00E762A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127"/>
  <w15:chartTrackingRefBased/>
  <w15:docId w15:val="{7D7CB11F-324F-4042-A98B-006B06F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D77FD"/>
    <w:pPr>
      <w:spacing w:before="280" w:after="280"/>
    </w:pPr>
    <w:rPr>
      <w:rFonts w:eastAsia="Calibri"/>
      <w:color w:val="00000A"/>
      <w:lang w:val="uk-UA"/>
    </w:rPr>
  </w:style>
  <w:style w:type="paragraph" w:styleId="a4">
    <w:name w:val="No Spacing"/>
    <w:uiPriority w:val="1"/>
    <w:qFormat/>
    <w:rsid w:val="005D77F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B242DE"/>
    <w:pPr>
      <w:ind w:left="720"/>
      <w:contextualSpacing/>
    </w:pPr>
  </w:style>
  <w:style w:type="paragraph" w:customStyle="1" w:styleId="1">
    <w:name w:val="Обычный1"/>
    <w:rsid w:val="00430783"/>
    <w:rPr>
      <w:rFonts w:ascii="Calibri" w:eastAsia="Calibri" w:hAnsi="Calibri" w:cs="Calibri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5618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3661,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56189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dcterms:created xsi:type="dcterms:W3CDTF">2023-04-17T12:26:00Z</dcterms:created>
  <dcterms:modified xsi:type="dcterms:W3CDTF">2023-05-01T10:56:00Z</dcterms:modified>
</cp:coreProperties>
</file>