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181" w:rsidRDefault="00F23961">
      <w:pPr>
        <w:jc w:val="center"/>
        <w:rPr>
          <w:b/>
        </w:rPr>
      </w:pPr>
      <w:r>
        <w:rPr>
          <w:b/>
        </w:rPr>
        <w:t>ДОГОВІР №_____</w:t>
      </w:r>
    </w:p>
    <w:p w:rsidR="00B22181" w:rsidRDefault="00B22181">
      <w:pPr>
        <w:ind w:left="-567"/>
        <w:jc w:val="center"/>
        <w:rPr>
          <w:b/>
        </w:rPr>
      </w:pPr>
    </w:p>
    <w:p w:rsidR="00B22181" w:rsidRDefault="00B22181">
      <w:pPr>
        <w:ind w:left="-567"/>
        <w:rPr>
          <w:b/>
        </w:rPr>
      </w:pPr>
    </w:p>
    <w:p w:rsidR="00B22181" w:rsidRDefault="00F23961">
      <w:pPr>
        <w:rPr>
          <w:b/>
        </w:rPr>
      </w:pPr>
      <w:r>
        <w:rPr>
          <w:b/>
        </w:rPr>
        <w:tab/>
      </w:r>
      <w:r>
        <w:rPr>
          <w:b/>
        </w:rPr>
        <w:tab/>
      </w:r>
      <w:r>
        <w:rPr>
          <w:b/>
        </w:rPr>
        <w:tab/>
      </w:r>
      <w:r>
        <w:rPr>
          <w:b/>
        </w:rPr>
        <w:tab/>
      </w:r>
      <w:r>
        <w:rPr>
          <w:b/>
        </w:rPr>
        <w:tab/>
      </w:r>
      <w:r>
        <w:rPr>
          <w:b/>
        </w:rPr>
        <w:tab/>
        <w:t xml:space="preserve">   </w:t>
      </w:r>
      <w:r w:rsidR="00D432FE">
        <w:rPr>
          <w:b/>
        </w:rPr>
        <w:t xml:space="preserve">          «____» ___________2024</w:t>
      </w:r>
      <w:r>
        <w:rPr>
          <w:b/>
        </w:rPr>
        <w:t>р.</w:t>
      </w:r>
    </w:p>
    <w:p w:rsidR="00B22181" w:rsidRDefault="00B22181">
      <w:pPr>
        <w:ind w:left="-567"/>
        <w:jc w:val="center"/>
        <w:rPr>
          <w:b/>
        </w:rPr>
      </w:pPr>
    </w:p>
    <w:p w:rsidR="00B22181" w:rsidRDefault="00F23961">
      <w:pPr>
        <w:ind w:firstLine="708"/>
        <w:jc w:val="both"/>
      </w:pPr>
      <w:r>
        <w:t xml:space="preserve">Відділ освіти, сім’ї, молоді та спорту виконавчого комітету </w:t>
      </w:r>
      <w:proofErr w:type="spellStart"/>
      <w:r>
        <w:t>Козельщинської</w:t>
      </w:r>
      <w:proofErr w:type="spellEnd"/>
      <w:r>
        <w:t xml:space="preserve"> селищної </w:t>
      </w:r>
      <w:proofErr w:type="spellStart"/>
      <w:r>
        <w:t>ради,в</w:t>
      </w:r>
      <w:proofErr w:type="spellEnd"/>
      <w:r>
        <w:t xml:space="preserve"> особі начальника </w:t>
      </w:r>
      <w:proofErr w:type="spellStart"/>
      <w:r>
        <w:t>Кабаченка</w:t>
      </w:r>
      <w:proofErr w:type="spellEnd"/>
      <w:r>
        <w:t xml:space="preserve"> Олега Степановича  який діє на підставі Положення, (далі – </w:t>
      </w:r>
      <w:r>
        <w:rPr>
          <w:b/>
        </w:rPr>
        <w:t>Покупець</w:t>
      </w:r>
      <w:r>
        <w:t xml:space="preserve">), з однієї сторони, в особі________________________________________, який діє на підставі ___________ (далі – </w:t>
      </w:r>
      <w:r>
        <w:rPr>
          <w:b/>
        </w:rPr>
        <w:t>Постачальник</w:t>
      </w:r>
      <w:r>
        <w:t>), з другої сторони, далі разом – Сторони, уклали даний Договір про таке:</w:t>
      </w:r>
    </w:p>
    <w:p w:rsidR="00B22181" w:rsidRDefault="00B22181">
      <w:pPr>
        <w:jc w:val="center"/>
        <w:rPr>
          <w:lang w:eastAsia="ru-RU"/>
        </w:rPr>
      </w:pPr>
    </w:p>
    <w:p w:rsidR="00B22181" w:rsidRDefault="00F23961">
      <w:pPr>
        <w:jc w:val="center"/>
        <w:rPr>
          <w:b/>
        </w:rPr>
      </w:pPr>
      <w:r>
        <w:rPr>
          <w:b/>
        </w:rPr>
        <w:t>1. Предмет Договору</w:t>
      </w:r>
    </w:p>
    <w:p w:rsidR="00B22181" w:rsidRDefault="00F23961">
      <w:pPr>
        <w:ind w:firstLine="709"/>
        <w:jc w:val="both"/>
      </w:pPr>
      <w:r>
        <w:t>1.1. Постачальник зобов’язується поставити та передати у власність Покупця проектори, за кодом ДК 021:2015: 30210000-4: Машини для обробки даних (апаратна частина) (ноутбук) (далі – товар), визначений в асортименті, якості, кількості та за цінами, які зазначені у Специфікації (Додаток 1), до Договору що є його невід’ємною частиною, а Покупець зобов’язується прийняти товар та сплатити його вартість.</w:t>
      </w:r>
    </w:p>
    <w:p w:rsidR="00B22181" w:rsidRDefault="00F23961">
      <w:pPr>
        <w:ind w:firstLine="709"/>
        <w:jc w:val="both"/>
      </w:pPr>
      <w:r>
        <w:t xml:space="preserve">1.2. Обсяг закупівлі товару, що є предметом Договору, може бути зменшений залежно від реального фінансування (фінансових можливостей, виробничих потреб) </w:t>
      </w:r>
      <w:r>
        <w:rPr>
          <w:b/>
        </w:rPr>
        <w:t>Замовника</w:t>
      </w:r>
      <w:r>
        <w:t>.</w:t>
      </w:r>
    </w:p>
    <w:p w:rsidR="00B22181" w:rsidRDefault="00B22181">
      <w:pPr>
        <w:ind w:firstLine="709"/>
        <w:jc w:val="both"/>
      </w:pPr>
    </w:p>
    <w:p w:rsidR="00B22181" w:rsidRDefault="00F23961">
      <w:pPr>
        <w:jc w:val="center"/>
        <w:rPr>
          <w:b/>
        </w:rPr>
      </w:pPr>
      <w:r>
        <w:rPr>
          <w:b/>
        </w:rPr>
        <w:t>2. Якість, комплектність та гарантійний термін товару</w:t>
      </w:r>
    </w:p>
    <w:p w:rsidR="00B22181" w:rsidRDefault="00F23961">
      <w:pPr>
        <w:ind w:firstLine="709"/>
        <w:jc w:val="both"/>
      </w:pPr>
      <w:r>
        <w:t xml:space="preserve">2.1. </w:t>
      </w:r>
      <w:r>
        <w:rPr>
          <w:b/>
        </w:rPr>
        <w:t xml:space="preserve">Постачальник </w:t>
      </w:r>
      <w:r>
        <w:t xml:space="preserve">повинен поставити </w:t>
      </w:r>
      <w:r>
        <w:rPr>
          <w:b/>
        </w:rPr>
        <w:t>Покупцю</w:t>
      </w:r>
      <w:r>
        <w:t xml:space="preserve"> товар, якість і комплектність якого відповідає технічній документації виробника. Якість товару повинна повністю відповідати діючим в Україні державним стандартам або затвердженим в установленому порядку технічним умовам і підтверджуватись документами, що передбачені діючим законодавством України. Весь товар повинен бути новим та невживаним.</w:t>
      </w:r>
    </w:p>
    <w:p w:rsidR="00B22181" w:rsidRDefault="00F23961">
      <w:pPr>
        <w:ind w:firstLine="709"/>
        <w:jc w:val="both"/>
        <w:rPr>
          <w:rStyle w:val="st42"/>
          <w:color w:val="auto"/>
        </w:rPr>
      </w:pPr>
      <w:r>
        <w:rPr>
          <w:rStyle w:val="st42"/>
        </w:rPr>
        <w:t xml:space="preserve">2.2. </w:t>
      </w:r>
      <w:r>
        <w:rPr>
          <w:color w:val="000000"/>
        </w:rPr>
        <w:t xml:space="preserve">Гарантійний строк на товари вказується в експлуатаційних документах та гарантійних талонах, які додаються до кожної одиниці </w:t>
      </w:r>
      <w:proofErr w:type="spellStart"/>
      <w:r>
        <w:rPr>
          <w:color w:val="000000"/>
        </w:rPr>
        <w:t>товару.</w:t>
      </w:r>
      <w:r>
        <w:t>Гарантія</w:t>
      </w:r>
      <w:proofErr w:type="spellEnd"/>
      <w:r>
        <w:t xml:space="preserve"> на Товар (все обладнання, що входить до його комплектації) має бути надано виробником, офіційним представником або безпосередньо постачальником обладнання. За жодних умов </w:t>
      </w:r>
      <w:r>
        <w:rPr>
          <w:b/>
        </w:rPr>
        <w:t>Постачальник</w:t>
      </w:r>
      <w:r>
        <w:t xml:space="preserve"> не може перекладати відповідальність за поломки й несправності на будь-яких третіх осіб. Треті особи можуть нести відповідальність за поломки і несправності перед Постачальником, але не перед </w:t>
      </w:r>
      <w:r>
        <w:rPr>
          <w:b/>
        </w:rPr>
        <w:t>Покупцем</w:t>
      </w:r>
      <w:r>
        <w:t>.</w:t>
      </w:r>
    </w:p>
    <w:p w:rsidR="00B22181" w:rsidRDefault="00F23961">
      <w:pPr>
        <w:ind w:firstLine="709"/>
        <w:jc w:val="both"/>
      </w:pPr>
      <w:r>
        <w:t xml:space="preserve">2.3. Прийняття </w:t>
      </w:r>
      <w:r>
        <w:rPr>
          <w:b/>
        </w:rPr>
        <w:t>Покупцем</w:t>
      </w:r>
      <w:r>
        <w:t xml:space="preserve"> неякісного товару не звільняє </w:t>
      </w:r>
      <w:r>
        <w:rPr>
          <w:b/>
        </w:rPr>
        <w:t>Постачальника</w:t>
      </w:r>
      <w:r>
        <w:t xml:space="preserve"> від зобов’язань поставити якісний товар, термін поставки при цьому визначається датою поставки якісного товару.</w:t>
      </w:r>
    </w:p>
    <w:p w:rsidR="00B22181" w:rsidRDefault="00F23961">
      <w:pPr>
        <w:ind w:firstLine="709"/>
        <w:jc w:val="both"/>
      </w:pPr>
      <w:bookmarkStart w:id="0" w:name="_Hlk127267590"/>
      <w:r>
        <w:t>2.4. Приймання товару за кількістю і якістю здійснюється відповідно до інструкцій ДА СРСР П-6 від 15.06.1965, П-7 від 25.04.1966 з врахуванням змін та доповнень до них.</w:t>
      </w:r>
    </w:p>
    <w:p w:rsidR="00B22181" w:rsidRDefault="00F23961">
      <w:pPr>
        <w:ind w:firstLine="709"/>
        <w:jc w:val="both"/>
      </w:pPr>
      <w:r>
        <w:t xml:space="preserve">25. </w:t>
      </w:r>
      <w:r>
        <w:rPr>
          <w:b/>
        </w:rPr>
        <w:t>Постачальник</w:t>
      </w:r>
      <w:r>
        <w:t xml:space="preserve">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Pr>
          <w:b/>
        </w:rPr>
        <w:t xml:space="preserve">Покупцем </w:t>
      </w:r>
      <w:r>
        <w:t>правил зберігання та експлуатації товару. В разі заміни товару гарантійний строк обчислюється заново від дня його заміни.</w:t>
      </w:r>
      <w:bookmarkEnd w:id="0"/>
    </w:p>
    <w:p w:rsidR="00B22181" w:rsidRDefault="00F23961">
      <w:pPr>
        <w:ind w:firstLine="709"/>
        <w:jc w:val="both"/>
      </w:pPr>
      <w:r>
        <w:t xml:space="preserve">2.6. При виявлені недоліків (дефектів) товару, у тому числі протягом гарантійного терміну, учасник повинен усунути недоліки (дефекти) товару або замінити неякісний товар товаром належної якості за свій рахунок протягом 14 днів з моменту отримання повідомлення </w:t>
      </w:r>
      <w:r>
        <w:rPr>
          <w:b/>
        </w:rPr>
        <w:t>Покупця</w:t>
      </w:r>
      <w:r>
        <w:t xml:space="preserve"> про виявлені недоліки (дефекти).</w:t>
      </w:r>
    </w:p>
    <w:p w:rsidR="00B22181" w:rsidRDefault="00F23961">
      <w:pPr>
        <w:pStyle w:val="af0"/>
        <w:spacing w:line="240" w:lineRule="auto"/>
        <w:rPr>
          <w:sz w:val="24"/>
          <w:szCs w:val="24"/>
        </w:rPr>
      </w:pPr>
      <w:r>
        <w:t xml:space="preserve">2.7. </w:t>
      </w:r>
      <w:r>
        <w:rPr>
          <w:sz w:val="24"/>
          <w:szCs w:val="24"/>
        </w:rPr>
        <w:t>Протягом всього гарантійного терміну, у разі такої потреби, вивіз техніки від Покупця на гарантійне обслуговування чи ремонт, а також повернення її Покупцю, має здійснюватися транспортом Постачальника за його рахунок.</w:t>
      </w:r>
    </w:p>
    <w:p w:rsidR="00B22181" w:rsidRDefault="00F23961">
      <w:pPr>
        <w:pStyle w:val="af0"/>
        <w:spacing w:line="240" w:lineRule="auto"/>
        <w:rPr>
          <w:sz w:val="24"/>
          <w:szCs w:val="24"/>
        </w:rPr>
      </w:pPr>
      <w:r>
        <w:rPr>
          <w:sz w:val="24"/>
          <w:szCs w:val="24"/>
        </w:rPr>
        <w:t xml:space="preserve">2.8. Заявка щодо необхідного гарантійного сервісного обслуговування Товару подається Постачальнику Покупцем усно, по телефону або електронною поштою. </w:t>
      </w:r>
      <w:r>
        <w:rPr>
          <w:sz w:val="24"/>
          <w:szCs w:val="24"/>
        </w:rPr>
        <w:lastRenderedPageBreak/>
        <w:t>Виконання заявки Постачальником повинна здійснюватися протягом одного робочого дня.</w:t>
      </w:r>
    </w:p>
    <w:p w:rsidR="00B22181" w:rsidRDefault="00F23961">
      <w:pPr>
        <w:jc w:val="center"/>
        <w:rPr>
          <w:b/>
        </w:rPr>
      </w:pPr>
      <w:r>
        <w:rPr>
          <w:b/>
        </w:rPr>
        <w:t>3. Сума Договору</w:t>
      </w:r>
    </w:p>
    <w:p w:rsidR="00B22181" w:rsidRDefault="00F23961">
      <w:pPr>
        <w:ind w:firstLine="709"/>
        <w:jc w:val="both"/>
      </w:pPr>
      <w:r>
        <w:t>3.1. Ціна на товар встановлюються в національній валюті України - гривні.</w:t>
      </w:r>
    </w:p>
    <w:p w:rsidR="00B22181" w:rsidRDefault="00F23961">
      <w:pPr>
        <w:ind w:firstLine="709"/>
        <w:jc w:val="both"/>
      </w:pPr>
      <w:r>
        <w:t>3.2. Сума Договору становить _______з ПДВ. В тому числі ПДВ _______.</w:t>
      </w:r>
    </w:p>
    <w:p w:rsidR="00B22181" w:rsidRDefault="00B22181">
      <w:pPr>
        <w:ind w:firstLine="709"/>
        <w:jc w:val="both"/>
      </w:pPr>
    </w:p>
    <w:p w:rsidR="00B22181" w:rsidRDefault="00F23961">
      <w:pPr>
        <w:keepNext/>
        <w:ind w:firstLine="709"/>
        <w:jc w:val="center"/>
        <w:rPr>
          <w:b/>
        </w:rPr>
      </w:pPr>
      <w:r>
        <w:rPr>
          <w:b/>
        </w:rPr>
        <w:t>4. Порядок здійснення оплати</w:t>
      </w:r>
    </w:p>
    <w:p w:rsidR="00B22181" w:rsidRDefault="00F23961">
      <w:pPr>
        <w:pStyle w:val="ab"/>
        <w:spacing w:before="0" w:beforeAutospacing="0" w:after="0" w:afterAutospacing="0"/>
        <w:ind w:firstLine="708"/>
        <w:jc w:val="both"/>
        <w:rPr>
          <w:color w:val="000000"/>
          <w:lang w:val="uk-UA"/>
        </w:rPr>
      </w:pPr>
      <w:r>
        <w:rPr>
          <w:color w:val="000000"/>
          <w:lang w:val="uk-UA"/>
        </w:rPr>
        <w:t>4.1.</w:t>
      </w:r>
      <w:r>
        <w:rPr>
          <w:lang w:val="uk-UA"/>
        </w:rPr>
        <w:t>Розрахунок</w:t>
      </w:r>
      <w:r>
        <w:rPr>
          <w:color w:val="000000"/>
          <w:lang w:val="uk-UA"/>
        </w:rPr>
        <w:t xml:space="preserve"> здійснюється у безготівковій формі шляхом перерахування Покупцем грошових коштів на поточний рахунок Постачальника.</w:t>
      </w:r>
    </w:p>
    <w:p w:rsidR="00B22181" w:rsidRDefault="00F23961">
      <w:pPr>
        <w:pStyle w:val="ab"/>
        <w:spacing w:before="0" w:beforeAutospacing="0" w:after="0" w:afterAutospacing="0"/>
        <w:ind w:firstLine="708"/>
        <w:jc w:val="both"/>
        <w:rPr>
          <w:lang w:val="uk-UA"/>
        </w:rPr>
      </w:pPr>
      <w:r>
        <w:rPr>
          <w:color w:val="000000"/>
          <w:lang w:val="uk-UA"/>
        </w:rPr>
        <w:t>4.2.</w:t>
      </w:r>
      <w:r>
        <w:t xml:space="preserve">Оплата Товару проводиться </w:t>
      </w:r>
      <w:proofErr w:type="spellStart"/>
      <w:r>
        <w:t>після</w:t>
      </w:r>
      <w:proofErr w:type="spellEnd"/>
      <w:r>
        <w:t xml:space="preserve"> </w:t>
      </w:r>
      <w:proofErr w:type="spellStart"/>
      <w:r>
        <w:t>отримання</w:t>
      </w:r>
      <w:proofErr w:type="spellEnd"/>
      <w:r>
        <w:t xml:space="preserve"> </w:t>
      </w:r>
      <w:proofErr w:type="spellStart"/>
      <w:r>
        <w:t>Покупцем</w:t>
      </w:r>
      <w:proofErr w:type="spellEnd"/>
      <w:r>
        <w:t xml:space="preserve"> </w:t>
      </w:r>
      <w:proofErr w:type="spellStart"/>
      <w:r>
        <w:t>партії</w:t>
      </w:r>
      <w:proofErr w:type="spellEnd"/>
      <w:r>
        <w:t xml:space="preserve"> Товару в </w:t>
      </w:r>
      <w:proofErr w:type="spellStart"/>
      <w:r>
        <w:t>повному</w:t>
      </w:r>
      <w:proofErr w:type="spellEnd"/>
      <w:r>
        <w:t xml:space="preserve"> </w:t>
      </w:r>
      <w:proofErr w:type="spellStart"/>
      <w:r>
        <w:t>обсязі</w:t>
      </w:r>
      <w:proofErr w:type="spellEnd"/>
      <w:r>
        <w:t xml:space="preserve"> </w:t>
      </w:r>
      <w:r>
        <w:rPr>
          <w:lang w:val="uk-UA"/>
        </w:rPr>
        <w:t>.</w:t>
      </w:r>
    </w:p>
    <w:p w:rsidR="00B22181" w:rsidRDefault="00F23961">
      <w:pPr>
        <w:jc w:val="center"/>
        <w:rPr>
          <w:b/>
        </w:rPr>
      </w:pPr>
      <w:r>
        <w:rPr>
          <w:b/>
        </w:rPr>
        <w:t>5. Поставка товару</w:t>
      </w:r>
    </w:p>
    <w:p w:rsidR="00B22181" w:rsidRDefault="00F23961">
      <w:pPr>
        <w:ind w:firstLine="708"/>
        <w:jc w:val="both"/>
      </w:pPr>
      <w:r>
        <w:t xml:space="preserve">5.1. Поставка товару здійснюється </w:t>
      </w:r>
      <w:r>
        <w:rPr>
          <w:b/>
        </w:rPr>
        <w:t>Постачальником</w:t>
      </w:r>
      <w:r>
        <w:t xml:space="preserve"> за власний рахунок або власним транспортом на склад </w:t>
      </w:r>
      <w:r>
        <w:rPr>
          <w:b/>
        </w:rPr>
        <w:t xml:space="preserve">Покупця </w:t>
      </w:r>
      <w:r>
        <w:t>протягом 5 робочих днів з дати підписання договору.</w:t>
      </w:r>
    </w:p>
    <w:p w:rsidR="00B22181" w:rsidRDefault="00F23961">
      <w:pPr>
        <w:ind w:firstLine="709"/>
        <w:jc w:val="both"/>
      </w:pPr>
      <w:r>
        <w:t xml:space="preserve">5.2. Поставка товару здійснюється за </w:t>
      </w:r>
      <w:proofErr w:type="spellStart"/>
      <w:r>
        <w:t>адресою</w:t>
      </w:r>
      <w:proofErr w:type="spellEnd"/>
      <w:r>
        <w:t xml:space="preserve">: 39100, Полтавська обл., Кременчуцький р-н, смт. </w:t>
      </w:r>
      <w:proofErr w:type="spellStart"/>
      <w:r>
        <w:t>Козельщина</w:t>
      </w:r>
      <w:proofErr w:type="spellEnd"/>
      <w:r>
        <w:t>, вул. Остроградського,75/15.</w:t>
      </w:r>
    </w:p>
    <w:p w:rsidR="00B22181" w:rsidRDefault="00F23961">
      <w:pPr>
        <w:ind w:firstLine="709"/>
        <w:jc w:val="both"/>
      </w:pPr>
      <w:r>
        <w:t xml:space="preserve"> 5.3. Товар повинен бути спакований </w:t>
      </w:r>
      <w:r>
        <w:rPr>
          <w:b/>
        </w:rPr>
        <w:t>Постачальником</w:t>
      </w:r>
      <w:r>
        <w:t xml:space="preserve">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t>навантажувально</w:t>
      </w:r>
      <w:proofErr w:type="spellEnd"/>
      <w:r>
        <w:t>-розвантажувальних робіт.</w:t>
      </w:r>
    </w:p>
    <w:p w:rsidR="00B22181" w:rsidRDefault="00F23961">
      <w:pPr>
        <w:ind w:firstLine="709"/>
        <w:jc w:val="both"/>
      </w:pPr>
      <w:r>
        <w:t xml:space="preserve">5.4. Товар має бути промаркований згідно з умовами чинних нормативних документів. </w:t>
      </w:r>
    </w:p>
    <w:p w:rsidR="00B22181" w:rsidRDefault="00F23961">
      <w:pPr>
        <w:ind w:firstLine="709"/>
        <w:jc w:val="both"/>
      </w:pPr>
      <w:r>
        <w:t xml:space="preserve">5.5. Датою поставки товару є дата, коли товар був переданий у власність </w:t>
      </w:r>
      <w:r>
        <w:rPr>
          <w:b/>
        </w:rPr>
        <w:t>Покупця</w:t>
      </w:r>
      <w:r>
        <w:t xml:space="preserve"> в місце поставки.</w:t>
      </w:r>
    </w:p>
    <w:p w:rsidR="00B22181" w:rsidRDefault="00F23961">
      <w:pPr>
        <w:ind w:firstLine="709"/>
        <w:jc w:val="both"/>
      </w:pPr>
      <w:r>
        <w:t xml:space="preserve">5.6. Зобов’язання </w:t>
      </w:r>
      <w:r>
        <w:rPr>
          <w:b/>
        </w:rPr>
        <w:t>Постачальника</w:t>
      </w:r>
      <w:r>
        <w:t xml:space="preserve"> щодо поставки замовленого товару вважаються виконаними у повному обсязі з моменту передання товару належної якості у власність </w:t>
      </w:r>
      <w:r>
        <w:rPr>
          <w:b/>
        </w:rPr>
        <w:t>Покупця</w:t>
      </w:r>
      <w:r>
        <w:t xml:space="preserve"> у місце поставки на підставі видаткової накладної (три екземпляри).</w:t>
      </w:r>
    </w:p>
    <w:p w:rsidR="00B22181" w:rsidRDefault="00F23961">
      <w:pPr>
        <w:ind w:firstLine="709"/>
        <w:jc w:val="both"/>
      </w:pPr>
      <w:r>
        <w:t xml:space="preserve">5.7. Право власності на товар переходить від </w:t>
      </w:r>
      <w:r>
        <w:rPr>
          <w:b/>
        </w:rPr>
        <w:t>Постачальника</w:t>
      </w:r>
      <w:r>
        <w:t xml:space="preserve"> до </w:t>
      </w:r>
      <w:r>
        <w:rPr>
          <w:b/>
        </w:rPr>
        <w:t xml:space="preserve">Покупця </w:t>
      </w:r>
      <w:r>
        <w:t>лише після його повної оплати. Видаткова накладна підтверджує виключно факт передачі товару.</w:t>
      </w:r>
    </w:p>
    <w:p w:rsidR="00B22181" w:rsidRDefault="00F23961">
      <w:pPr>
        <w:ind w:firstLine="709"/>
        <w:jc w:val="both"/>
      </w:pPr>
      <w:r>
        <w:t xml:space="preserve">5.8. Ризики, пов’язані з доставкою товару </w:t>
      </w:r>
      <w:r>
        <w:rPr>
          <w:b/>
        </w:rPr>
        <w:t>Покупцю</w:t>
      </w:r>
      <w:r>
        <w:t xml:space="preserve"> за даним договором, несе </w:t>
      </w:r>
      <w:r>
        <w:rPr>
          <w:b/>
        </w:rPr>
        <w:t>Постачальник</w:t>
      </w:r>
      <w:r>
        <w:t xml:space="preserve"> до моменту здійснення фактичної передачі Товару Покупцю згідно видаткових накладних та іншої супроводжуваної документації.</w:t>
      </w:r>
    </w:p>
    <w:p w:rsidR="00B22181" w:rsidRDefault="00F23961">
      <w:pPr>
        <w:ind w:firstLine="709"/>
        <w:jc w:val="both"/>
      </w:pPr>
      <w:r>
        <w:t xml:space="preserve">5.9. </w:t>
      </w:r>
      <w:r>
        <w:rPr>
          <w:b/>
        </w:rPr>
        <w:t>Покупець</w:t>
      </w:r>
      <w:r>
        <w:t xml:space="preserve"> не має права відмовитися від поставленого або замовленого (на стадії виконання </w:t>
      </w:r>
      <w:r>
        <w:rPr>
          <w:b/>
        </w:rPr>
        <w:t>Постачальником</w:t>
      </w:r>
      <w:r>
        <w:t xml:space="preserve"> своїх договірних зобов’язань) товару та підписання товаросупровідних документів, окрім випадків поставки товару неналежної якості, що виключає можливість його використання за призначенням.</w:t>
      </w:r>
    </w:p>
    <w:p w:rsidR="00B22181" w:rsidRDefault="00B22181">
      <w:pPr>
        <w:ind w:firstLine="709"/>
        <w:jc w:val="both"/>
        <w:rPr>
          <w:rStyle w:val="st42"/>
        </w:rPr>
      </w:pPr>
    </w:p>
    <w:p w:rsidR="00B22181" w:rsidRDefault="00F23961">
      <w:pPr>
        <w:jc w:val="center"/>
        <w:rPr>
          <w:b/>
        </w:rPr>
      </w:pPr>
      <w:r>
        <w:rPr>
          <w:b/>
        </w:rPr>
        <w:t>6. Права та обов’язки Сторін</w:t>
      </w:r>
    </w:p>
    <w:p w:rsidR="00B22181" w:rsidRDefault="00F23961">
      <w:pPr>
        <w:ind w:firstLine="709"/>
        <w:jc w:val="both"/>
      </w:pPr>
      <w:r>
        <w:t xml:space="preserve">6.1. </w:t>
      </w:r>
      <w:r>
        <w:rPr>
          <w:b/>
        </w:rPr>
        <w:t>Покупець</w:t>
      </w:r>
      <w:r>
        <w:t xml:space="preserve"> зобов’язаний:</w:t>
      </w:r>
    </w:p>
    <w:p w:rsidR="00B22181" w:rsidRDefault="00F23961">
      <w:pPr>
        <w:ind w:firstLine="709"/>
        <w:jc w:val="both"/>
      </w:pPr>
      <w:r>
        <w:t>6.1.1. Своєчасно та в повному обсязі здійснювати розрахунки за поставлений товар.</w:t>
      </w:r>
    </w:p>
    <w:p w:rsidR="00B22181" w:rsidRDefault="00F23961">
      <w:pPr>
        <w:ind w:firstLine="709"/>
        <w:jc w:val="both"/>
      </w:pPr>
      <w:r>
        <w:t>6.1.2. Приймати поставлений товар згідно з замовленням за видатковою накладною.</w:t>
      </w:r>
    </w:p>
    <w:p w:rsidR="00B22181" w:rsidRDefault="00F23961">
      <w:pPr>
        <w:ind w:firstLine="709"/>
        <w:jc w:val="both"/>
      </w:pPr>
      <w:bookmarkStart w:id="1" w:name="_heading=h.30j0zll" w:colFirst="0" w:colLast="0"/>
      <w:bookmarkEnd w:id="1"/>
      <w:r>
        <w:t xml:space="preserve">6.2. </w:t>
      </w:r>
      <w:r>
        <w:rPr>
          <w:b/>
        </w:rPr>
        <w:t>Покупець</w:t>
      </w:r>
      <w:r>
        <w:t xml:space="preserve"> має право:</w:t>
      </w:r>
    </w:p>
    <w:p w:rsidR="00B22181" w:rsidRDefault="00F23961">
      <w:pPr>
        <w:ind w:firstLine="709"/>
        <w:jc w:val="both"/>
      </w:pPr>
      <w:r>
        <w:t xml:space="preserve">6.2.1. Достроково, в односторонньому порядку, розірвати даний Договір, у разі невиконання зобов’язань </w:t>
      </w:r>
      <w:r>
        <w:rPr>
          <w:b/>
        </w:rPr>
        <w:t>Постачальником</w:t>
      </w:r>
      <w:r>
        <w:t xml:space="preserve">, повідомивши про це </w:t>
      </w:r>
      <w:r>
        <w:rPr>
          <w:b/>
        </w:rPr>
        <w:t>Постачальника</w:t>
      </w:r>
      <w:r>
        <w:t xml:space="preserve"> за 10 календарних днів до бажаної дати розірвання.</w:t>
      </w:r>
    </w:p>
    <w:p w:rsidR="00B22181" w:rsidRDefault="00F23961">
      <w:pPr>
        <w:ind w:firstLine="709"/>
        <w:jc w:val="both"/>
      </w:pPr>
      <w:r>
        <w:t>6.2.2. Контролювати поставку товару у строки, встановлені даним Договором.</w:t>
      </w:r>
    </w:p>
    <w:p w:rsidR="00B22181" w:rsidRDefault="00F23961">
      <w:pPr>
        <w:ind w:firstLine="709"/>
        <w:jc w:val="both"/>
      </w:pPr>
      <w:r>
        <w:t xml:space="preserve">6.2.3. Залучати фахівців </w:t>
      </w:r>
      <w:r>
        <w:rPr>
          <w:b/>
        </w:rPr>
        <w:t>Покупця</w:t>
      </w:r>
      <w:r>
        <w:t xml:space="preserve"> для приймання товару від </w:t>
      </w:r>
      <w:r>
        <w:rPr>
          <w:b/>
        </w:rPr>
        <w:t>Постачальника</w:t>
      </w:r>
      <w:r>
        <w:t>.</w:t>
      </w:r>
    </w:p>
    <w:p w:rsidR="00B22181" w:rsidRDefault="00F23961">
      <w:pPr>
        <w:ind w:firstLine="709"/>
        <w:jc w:val="both"/>
      </w:pPr>
      <w:r>
        <w:t xml:space="preserve">6.2.4. Повернути неякісний товар </w:t>
      </w:r>
      <w:r>
        <w:rPr>
          <w:b/>
        </w:rPr>
        <w:t>Постачальнику</w:t>
      </w:r>
      <w:r>
        <w:t>.</w:t>
      </w:r>
    </w:p>
    <w:p w:rsidR="00B22181" w:rsidRDefault="00F23961">
      <w:pPr>
        <w:ind w:firstLine="709"/>
        <w:jc w:val="both"/>
      </w:pPr>
      <w:r>
        <w:t>6.2.5. Зменшувати обсяг закупівлі товару та суму Договору в залежності від фінансових можливостей та своїх виробничих потреб.</w:t>
      </w:r>
    </w:p>
    <w:p w:rsidR="00B22181" w:rsidRDefault="00F23961">
      <w:pPr>
        <w:ind w:firstLine="709"/>
        <w:jc w:val="both"/>
      </w:pPr>
      <w:r>
        <w:t xml:space="preserve">6.3. </w:t>
      </w:r>
      <w:r>
        <w:rPr>
          <w:b/>
        </w:rPr>
        <w:t>Постачальник</w:t>
      </w:r>
      <w:r>
        <w:t xml:space="preserve"> зобов’язаний:</w:t>
      </w:r>
    </w:p>
    <w:p w:rsidR="00B22181" w:rsidRDefault="00F23961">
      <w:pPr>
        <w:ind w:firstLine="709"/>
        <w:jc w:val="both"/>
      </w:pPr>
      <w:r>
        <w:lastRenderedPageBreak/>
        <w:t>6.3.1. Забезпечити поставку товару у терміни, встановлені даним Договором.</w:t>
      </w:r>
    </w:p>
    <w:p w:rsidR="00B22181" w:rsidRDefault="00F23961">
      <w:pPr>
        <w:ind w:firstLine="709"/>
        <w:jc w:val="both"/>
      </w:pPr>
      <w:r>
        <w:t>6.3.2. Забезпечити відповідність якості товару встановленим нормам якості на даний товар.</w:t>
      </w:r>
    </w:p>
    <w:p w:rsidR="00B22181" w:rsidRDefault="00F23961">
      <w:pPr>
        <w:ind w:firstLine="709"/>
        <w:jc w:val="both"/>
      </w:pPr>
      <w:r>
        <w:t>6.3.3. Надавати разом з товаром товаросупровідні документи.</w:t>
      </w:r>
    </w:p>
    <w:p w:rsidR="00B22181" w:rsidRDefault="00F23961">
      <w:pPr>
        <w:ind w:firstLine="709"/>
        <w:jc w:val="both"/>
        <w:rPr>
          <w:i/>
        </w:rPr>
      </w:pPr>
      <w:r>
        <w:t>6.3.4. Оформляти належним чином видаткові накладні (три екземпляри) та інші первинні документи, дотримуючись вимог чинного законодавства та умов даного Договору.</w:t>
      </w:r>
    </w:p>
    <w:p w:rsidR="00B22181" w:rsidRDefault="00F23961">
      <w:pPr>
        <w:ind w:firstLine="709"/>
        <w:jc w:val="both"/>
      </w:pPr>
      <w:r>
        <w:t>6.3.5. Усунути недоліки (дефекти) товару або замінити неякісний товар на товар належної якості у порядку, визначеному розділом 2 даного Договору.</w:t>
      </w:r>
    </w:p>
    <w:p w:rsidR="00B22181" w:rsidRDefault="00F23961">
      <w:pPr>
        <w:ind w:firstLine="709"/>
        <w:jc w:val="both"/>
      </w:pPr>
      <w:r>
        <w:t xml:space="preserve">6.4. </w:t>
      </w:r>
      <w:r>
        <w:rPr>
          <w:b/>
        </w:rPr>
        <w:t>Постачальник</w:t>
      </w:r>
      <w:r>
        <w:t xml:space="preserve"> має право:</w:t>
      </w:r>
    </w:p>
    <w:p w:rsidR="00B22181" w:rsidRDefault="00F23961">
      <w:pPr>
        <w:ind w:firstLine="709"/>
        <w:jc w:val="both"/>
      </w:pPr>
      <w:r>
        <w:t>6.4.1. Своєчасно та в повному обсязі отримати плату за поставлений товар.</w:t>
      </w:r>
    </w:p>
    <w:p w:rsidR="00B22181" w:rsidRDefault="00B22181">
      <w:pPr>
        <w:ind w:firstLine="709"/>
        <w:jc w:val="both"/>
        <w:rPr>
          <w:rStyle w:val="st42"/>
        </w:rPr>
      </w:pPr>
    </w:p>
    <w:p w:rsidR="00B22181" w:rsidRDefault="00F23961">
      <w:pPr>
        <w:jc w:val="center"/>
        <w:rPr>
          <w:b/>
        </w:rPr>
      </w:pPr>
      <w:r>
        <w:rPr>
          <w:b/>
        </w:rPr>
        <w:t>7. Відповідальність Сторін</w:t>
      </w:r>
    </w:p>
    <w:p w:rsidR="00B22181" w:rsidRDefault="00F23961">
      <w:pPr>
        <w:ind w:firstLine="709"/>
        <w:jc w:val="both"/>
      </w:pPr>
      <w: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B22181" w:rsidRDefault="00F23961">
      <w:pPr>
        <w:ind w:firstLine="709"/>
        <w:jc w:val="both"/>
      </w:pPr>
      <w:r>
        <w:t xml:space="preserve">7.2. У разі затримки поставки товару, або поставки товару не в повному обсязі </w:t>
      </w:r>
      <w:r>
        <w:rPr>
          <w:b/>
        </w:rPr>
        <w:t>Покупцю</w:t>
      </w:r>
      <w:r>
        <w:t xml:space="preserve">, </w:t>
      </w:r>
      <w:r>
        <w:rPr>
          <w:b/>
        </w:rPr>
        <w:t>Постачальник</w:t>
      </w:r>
      <w:r>
        <w:t xml:space="preserve"> сплачує штраф у розмірі 0,1 % від вартості непоставленого товару за кожний день затримки, а за прострочення понад 10 робочих  днів додатково стягується штраф у розмірі 0,1% від вартості непоставленого товару.</w:t>
      </w:r>
    </w:p>
    <w:p w:rsidR="00B22181" w:rsidRDefault="00F23961">
      <w:pPr>
        <w:ind w:firstLine="709"/>
        <w:jc w:val="both"/>
      </w:pPr>
      <w:r>
        <w:t>7.3. У разі затримки поставки товару більш, як на один місяць понад строку, передбаченого Договором,</w:t>
      </w:r>
      <w:r>
        <w:rPr>
          <w:b/>
        </w:rPr>
        <w:t xml:space="preserve"> Покупець </w:t>
      </w:r>
      <w:r>
        <w:t>має право в односторонньому порядку перервати дію даного Договору (повідомивши про це</w:t>
      </w:r>
      <w:r>
        <w:rPr>
          <w:b/>
        </w:rPr>
        <w:t xml:space="preserve"> Постачальника </w:t>
      </w:r>
      <w:r>
        <w:t>письмово) стосовно непоставленого товару без будь-якої компенсації за збитки, які</w:t>
      </w:r>
      <w:r>
        <w:rPr>
          <w:b/>
        </w:rPr>
        <w:t xml:space="preserve"> Постачальник</w:t>
      </w:r>
      <w:r>
        <w:t xml:space="preserve"> поніс або може понести через таке розірвання Договору. </w:t>
      </w:r>
    </w:p>
    <w:p w:rsidR="00B22181" w:rsidRDefault="00F23961">
      <w:pPr>
        <w:ind w:firstLine="709"/>
        <w:jc w:val="both"/>
      </w:pPr>
      <w:r>
        <w:t xml:space="preserve">7.4. За порушення умов Договору щодо якості товару з </w:t>
      </w:r>
      <w:r>
        <w:rPr>
          <w:b/>
        </w:rPr>
        <w:t xml:space="preserve">Постачальника </w:t>
      </w:r>
      <w:r>
        <w:t>стягується штраф у розмірі 0,1% від вартості неякісного товару.</w:t>
      </w:r>
    </w:p>
    <w:p w:rsidR="00B22181" w:rsidRDefault="00F23961">
      <w:pPr>
        <w:ind w:firstLine="709"/>
        <w:jc w:val="both"/>
      </w:pPr>
      <w:r>
        <w:t xml:space="preserve">7.5. У разі затримки розрахунку за поставлений товар </w:t>
      </w:r>
      <w:r>
        <w:rPr>
          <w:b/>
        </w:rPr>
        <w:t>Покупець</w:t>
      </w:r>
      <w:r>
        <w:t xml:space="preserve"> сплачує </w:t>
      </w:r>
      <w:r>
        <w:rPr>
          <w:b/>
        </w:rPr>
        <w:t>Постачальнику</w:t>
      </w:r>
      <w: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rsidR="00B22181" w:rsidRDefault="00F23961">
      <w:pPr>
        <w:ind w:firstLine="709"/>
        <w:jc w:val="both"/>
      </w:pPr>
      <w:r>
        <w:t xml:space="preserve">7.6. У випадках, не передбачених умовами даного Договору, Сторони несуть відповідальність, передбачену чинним законодавством України. </w:t>
      </w:r>
    </w:p>
    <w:p w:rsidR="00B22181" w:rsidRDefault="00F23961">
      <w:pPr>
        <w:ind w:firstLine="709"/>
        <w:jc w:val="both"/>
      </w:pPr>
      <w:r>
        <w:t>7.7. Сплата штрафних санкцій не звільняє винну Сторону від виконання своїх зобов’язань за даним Договором.</w:t>
      </w:r>
    </w:p>
    <w:p w:rsidR="00B22181" w:rsidRDefault="00B22181">
      <w:pPr>
        <w:ind w:firstLine="709"/>
        <w:jc w:val="both"/>
      </w:pPr>
    </w:p>
    <w:p w:rsidR="00B22181" w:rsidRDefault="00F23961">
      <w:pPr>
        <w:jc w:val="center"/>
        <w:rPr>
          <w:b/>
        </w:rPr>
      </w:pPr>
      <w:r>
        <w:rPr>
          <w:b/>
        </w:rPr>
        <w:t>8. Обставини непереборної сили</w:t>
      </w:r>
    </w:p>
    <w:p w:rsidR="00B22181" w:rsidRDefault="00F23961">
      <w:pPr>
        <w:ind w:firstLine="709"/>
        <w:jc w:val="both"/>
      </w:pPr>
      <w: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B22181" w:rsidRDefault="00F23961">
      <w:pPr>
        <w:ind w:firstLine="709"/>
        <w:jc w:val="both"/>
      </w:pPr>
      <w: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B22181" w:rsidRDefault="00F23961">
      <w:pPr>
        <w:ind w:firstLine="709"/>
        <w:jc w:val="both"/>
      </w:pPr>
      <w:r>
        <w:t xml:space="preserve">8.3. Якщо форс-мажорні обставини триватимуть понад 6 місяців поспіль, даний Договір може бути розірваний </w:t>
      </w:r>
      <w:r>
        <w:rPr>
          <w:b/>
        </w:rPr>
        <w:t>Постачальником</w:t>
      </w:r>
      <w:r>
        <w:t xml:space="preserve"> або </w:t>
      </w:r>
      <w:r>
        <w:rPr>
          <w:b/>
        </w:rPr>
        <w:t>Покупцем</w:t>
      </w:r>
      <w:r>
        <w:t xml:space="preserve"> шляхом направлення письмового повідомлення про це другій Стороні. </w:t>
      </w:r>
    </w:p>
    <w:p w:rsidR="00B22181" w:rsidRDefault="00F23961">
      <w:pPr>
        <w:ind w:firstLine="709"/>
        <w:jc w:val="both"/>
      </w:pPr>
      <w: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B22181" w:rsidRDefault="00F23961">
      <w:pPr>
        <w:ind w:firstLine="709"/>
        <w:jc w:val="both"/>
      </w:pPr>
      <w:r>
        <w:t xml:space="preserve">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w:t>
      </w:r>
      <w:r>
        <w:lastRenderedPageBreak/>
        <w:t>Сторони від виконання своїх обов’язків за Договором після закінчення дії цих форс-мажорних обставин.</w:t>
      </w:r>
    </w:p>
    <w:p w:rsidR="00B22181" w:rsidRDefault="00B22181">
      <w:pPr>
        <w:ind w:firstLine="709"/>
        <w:jc w:val="center"/>
        <w:rPr>
          <w:b/>
        </w:rPr>
      </w:pPr>
    </w:p>
    <w:p w:rsidR="00B22181" w:rsidRDefault="00F23961">
      <w:pPr>
        <w:keepNext/>
        <w:jc w:val="center"/>
        <w:rPr>
          <w:b/>
        </w:rPr>
      </w:pPr>
      <w:r>
        <w:rPr>
          <w:b/>
        </w:rPr>
        <w:t>9. Вирішення спорів</w:t>
      </w:r>
    </w:p>
    <w:p w:rsidR="00B22181" w:rsidRDefault="00F23961">
      <w:pPr>
        <w:ind w:firstLine="709"/>
        <w:jc w:val="both"/>
      </w:pPr>
      <w:bookmarkStart w:id="2" w:name="_Hlk127271171"/>
      <w:r>
        <w:t>9.1. У випадку виникнення спорів або розбіжностей Сторони зобов’язуються вирішувати їх шляхом переговорів та консультацій.</w:t>
      </w:r>
    </w:p>
    <w:p w:rsidR="00B22181" w:rsidRDefault="00F23961">
      <w:pPr>
        <w:ind w:firstLine="709"/>
        <w:jc w:val="both"/>
      </w:pPr>
      <w: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bookmarkEnd w:id="2"/>
    <w:p w:rsidR="00B22181" w:rsidRDefault="00B22181">
      <w:pPr>
        <w:ind w:firstLine="709"/>
        <w:jc w:val="both"/>
        <w:rPr>
          <w:b/>
        </w:rPr>
      </w:pPr>
    </w:p>
    <w:p w:rsidR="00B22181" w:rsidRDefault="00F23961">
      <w:pPr>
        <w:jc w:val="center"/>
        <w:rPr>
          <w:b/>
        </w:rPr>
      </w:pPr>
      <w:r>
        <w:rPr>
          <w:b/>
        </w:rPr>
        <w:t xml:space="preserve">10. </w:t>
      </w:r>
      <w:proofErr w:type="spellStart"/>
      <w:r>
        <w:rPr>
          <w:b/>
        </w:rPr>
        <w:t>Оперативно</w:t>
      </w:r>
      <w:proofErr w:type="spellEnd"/>
      <w:r>
        <w:rPr>
          <w:b/>
        </w:rPr>
        <w:t>-господарські санкції</w:t>
      </w:r>
    </w:p>
    <w:p w:rsidR="00B22181" w:rsidRDefault="00F23961">
      <w:pPr>
        <w:ind w:firstLine="709"/>
        <w:jc w:val="both"/>
      </w:pPr>
      <w:r>
        <w:t xml:space="preserve">10.1. Сторони прийшли до взаємної згоди щодо можливості застосування </w:t>
      </w:r>
      <w:proofErr w:type="spellStart"/>
      <w:r>
        <w:t>оперативно</w:t>
      </w:r>
      <w:proofErr w:type="spellEnd"/>
      <w: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B22181" w:rsidRDefault="00F23961">
      <w:pPr>
        <w:ind w:firstLine="709"/>
        <w:jc w:val="both"/>
      </w:pPr>
      <w:r>
        <w:t xml:space="preserve">10.2. Відмова від встановлення на майбутнє господарських відносин із стороною, яка порушує зобов’язання, може застосовуватися </w:t>
      </w:r>
      <w:r>
        <w:rPr>
          <w:b/>
        </w:rPr>
        <w:t xml:space="preserve">Покупцем </w:t>
      </w:r>
      <w:r>
        <w:t xml:space="preserve">до </w:t>
      </w:r>
      <w:r>
        <w:rPr>
          <w:b/>
        </w:rPr>
        <w:t>Постачальника</w:t>
      </w:r>
      <w:r>
        <w:t xml:space="preserve"> за невиконання </w:t>
      </w:r>
      <w:r>
        <w:rPr>
          <w:b/>
        </w:rPr>
        <w:t>Постачальником</w:t>
      </w:r>
      <w:r>
        <w:t xml:space="preserve"> своїх зобов’язань перед Покупцем в частині, що стосується: </w:t>
      </w:r>
    </w:p>
    <w:p w:rsidR="00B22181" w:rsidRDefault="00F23961">
      <w:pPr>
        <w:ind w:firstLine="709"/>
        <w:jc w:val="both"/>
      </w:pPr>
      <w:r>
        <w:t>якості поставленого Товару;</w:t>
      </w:r>
    </w:p>
    <w:p w:rsidR="00B22181" w:rsidRDefault="00F23961">
      <w:pPr>
        <w:ind w:firstLine="709"/>
        <w:jc w:val="both"/>
      </w:pPr>
      <w:r>
        <w:t xml:space="preserve">10.3 У разі порушення </w:t>
      </w:r>
      <w:r>
        <w:rPr>
          <w:b/>
        </w:rPr>
        <w:t>Постачальником</w:t>
      </w:r>
      <w:r>
        <w:t xml:space="preserve"> умов щодо порядку та строків постачання Товару, якості поставленого Товару, </w:t>
      </w:r>
      <w:r>
        <w:rPr>
          <w:b/>
        </w:rPr>
        <w:t>Покупець</w:t>
      </w:r>
      <w: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Pr>
          <w:b/>
        </w:rPr>
        <w:t xml:space="preserve">Постачальника </w:t>
      </w:r>
      <w:proofErr w:type="spellStart"/>
      <w:r>
        <w:t>оперативно</w:t>
      </w:r>
      <w:proofErr w:type="spellEnd"/>
      <w:r>
        <w:t xml:space="preserve">-господарську санкцію у формі відмови від встановлення на майбутнє господарських </w:t>
      </w:r>
      <w:proofErr w:type="spellStart"/>
      <w:r>
        <w:t>зв’язків</w:t>
      </w:r>
      <w:proofErr w:type="spellEnd"/>
      <w:r>
        <w:t xml:space="preserve"> (далі – Санкція).</w:t>
      </w:r>
    </w:p>
    <w:p w:rsidR="00B22181" w:rsidRDefault="00F23961">
      <w:pPr>
        <w:ind w:firstLine="709"/>
        <w:jc w:val="both"/>
      </w:pPr>
      <w:r>
        <w:t xml:space="preserve">10.4 Строк дії Санкції визначає </w:t>
      </w:r>
      <w:r>
        <w:rPr>
          <w:b/>
        </w:rPr>
        <w:t>Покупець</w:t>
      </w:r>
      <w:r>
        <w:t xml:space="preserve">, але він не буде перевищувати трьох років з моменту початку її застосування. </w:t>
      </w:r>
      <w:r>
        <w:rPr>
          <w:b/>
        </w:rPr>
        <w:t>Покупець</w:t>
      </w:r>
      <w:r>
        <w:t xml:space="preserve"> повідомляє </w:t>
      </w:r>
      <w:r>
        <w:rPr>
          <w:b/>
        </w:rPr>
        <w:t>Постачальника</w:t>
      </w:r>
      <w:r>
        <w:t xml:space="preserve"> про застосування до нього Санкції та строк її дії шляхом направлення повідомлення у спосіб (письмова заявка направляється </w:t>
      </w:r>
      <w:r>
        <w:rPr>
          <w:b/>
        </w:rPr>
        <w:t>Покупцем</w:t>
      </w:r>
      <w:r>
        <w:t xml:space="preserve"> на адресу </w:t>
      </w:r>
      <w:r>
        <w:rPr>
          <w:b/>
        </w:rPr>
        <w:t>Постачальника</w:t>
      </w:r>
      <w:r>
        <w:t xml:space="preserve">, з подальшим направленням цінним листом з описом вкладення та повідомленням на поштову адресу </w:t>
      </w:r>
      <w:r>
        <w:rPr>
          <w:b/>
        </w:rPr>
        <w:t>Постачальника</w:t>
      </w:r>
      <w:r>
        <w:t xml:space="preserve">, передбачену в Договорі. Всі документи (листи, повідомлення, інша кореспонденція та </w:t>
      </w:r>
      <w:proofErr w:type="spellStart"/>
      <w:r>
        <w:t>т.і</w:t>
      </w:r>
      <w:proofErr w:type="spellEnd"/>
      <w:r>
        <w:t xml:space="preserve">.), що будуть відправлені </w:t>
      </w:r>
      <w:r>
        <w:rPr>
          <w:b/>
        </w:rPr>
        <w:t>Покупцем</w:t>
      </w:r>
      <w:r>
        <w:t xml:space="preserve"> на адресу </w:t>
      </w:r>
      <w:r>
        <w:rPr>
          <w:b/>
        </w:rPr>
        <w:t>Постачальника</w:t>
      </w:r>
      <w:r>
        <w:t xml:space="preserve">, вказану у Договорі, вважаються такими, що були відправлені належним чином належному отримувачу до тих пір, поки </w:t>
      </w:r>
      <w:r>
        <w:rPr>
          <w:b/>
        </w:rPr>
        <w:t>Постачальник</w:t>
      </w:r>
      <w:r>
        <w:t xml:space="preserve"> письмово не повідомить </w:t>
      </w:r>
      <w:r>
        <w:rPr>
          <w:b/>
        </w:rPr>
        <w:t>Покупця</w:t>
      </w:r>
      <w:r>
        <w:t xml:space="preserve">  про зміну свого місцезнаходження (із доказами про отримання </w:t>
      </w:r>
      <w:r>
        <w:rPr>
          <w:b/>
        </w:rPr>
        <w:t>Покупцем</w:t>
      </w:r>
      <w:r>
        <w:t xml:space="preserve"> такого повідомлення).</w:t>
      </w:r>
    </w:p>
    <w:p w:rsidR="00B22181" w:rsidRDefault="00B22181">
      <w:pPr>
        <w:ind w:firstLine="709"/>
        <w:jc w:val="both"/>
      </w:pPr>
    </w:p>
    <w:p w:rsidR="00B22181" w:rsidRDefault="00F23961">
      <w:pPr>
        <w:jc w:val="center"/>
        <w:rPr>
          <w:b/>
        </w:rPr>
      </w:pPr>
      <w:r>
        <w:rPr>
          <w:b/>
        </w:rPr>
        <w:t>11. Порядок змін умов договору про закупівлю:</w:t>
      </w:r>
    </w:p>
    <w:p w:rsidR="00B22181" w:rsidRDefault="00F23961">
      <w:pPr>
        <w:ind w:firstLine="709"/>
        <w:jc w:val="both"/>
      </w:pPr>
      <w:r>
        <w:t>11.1. Зміни до договору про закупівлю можуть вноситись у випадках, вказаних згідно п. 12.2 цього договору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B22181" w:rsidRDefault="00F23961">
      <w:pPr>
        <w:ind w:firstLine="709"/>
        <w:jc w:val="both"/>
      </w:pPr>
      <w:r>
        <w:t>11.2. Істотні умови цього договору не можуть змінюватися після його підписання до виконання зобов’язань Сторонами в повному обсязі, крім випадків:</w:t>
      </w:r>
    </w:p>
    <w:p w:rsidR="00B22181" w:rsidRDefault="00F23961">
      <w:pPr>
        <w:ind w:firstLine="709"/>
        <w:jc w:val="both"/>
      </w:pPr>
      <w:r>
        <w:t>1) зменшення обсягів закупівлі, зокрема з урахуванням фактичного обсягу видатків Покупця;</w:t>
      </w:r>
    </w:p>
    <w:p w:rsidR="00B22181" w:rsidRDefault="00F23961">
      <w:pPr>
        <w:ind w:firstLine="709"/>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22181" w:rsidRDefault="00F23961">
      <w:pPr>
        <w:ind w:firstLine="709"/>
        <w:jc w:val="both"/>
      </w:pPr>
      <w:r>
        <w:t>Внесення таких змін можливе за наявності пред’явленого Постачальником обґрунтованого документального підтвердження коливання ціни такого Товару на ринку. Наявність факту коливання ціни Товару на ринку підтверджується даними із загальнодоступних джерел, також Постачальник зобов’язаний надати довідку, отриману від уповноваженого органу (довідка (експертний висновок) з Торгово-промислової палати України чи її територіального відділення чи ДП «</w:t>
      </w:r>
      <w:proofErr w:type="spellStart"/>
      <w:r>
        <w:t>Держзовнішінформ</w:t>
      </w:r>
      <w:proofErr w:type="spellEnd"/>
      <w:r>
        <w:t>»» або органів Державної служби статистики України, або установи, уповноваженої надавати відповідну інформацію. Документ, що надається Учасником повинен містити інформацію про ринкову (</w:t>
      </w:r>
      <w:proofErr w:type="spellStart"/>
      <w:r>
        <w:t>середньоринкову</w:t>
      </w:r>
      <w:proofErr w:type="spellEnd"/>
      <w:r>
        <w:t>) ціну на товар станом на дату укладання договору  та ринкову (</w:t>
      </w:r>
      <w:proofErr w:type="spellStart"/>
      <w:r>
        <w:t>середньоринкову</w:t>
      </w:r>
      <w:proofErr w:type="spellEnd"/>
      <w:r>
        <w:t>) ціну на товар станом на момент укладання додаткової угоди (документ, що підтверджує коливання ціни товару на ринку повинен бути виданим не більше 5 календарних днів відносно дати укладення договору / додаткової угоди);</w:t>
      </w:r>
    </w:p>
    <w:p w:rsidR="00B22181" w:rsidRDefault="00F23961">
      <w:pPr>
        <w:ind w:firstLine="709"/>
        <w:jc w:val="both"/>
      </w:pPr>
      <w:r>
        <w:t>3) покращення якості предмета закупівлі, за умови що таке покращення не призведе до збільшення суми, визначеної в цьому договорі про закупівлю;</w:t>
      </w:r>
    </w:p>
    <w:p w:rsidR="00B22181" w:rsidRDefault="00F23961">
      <w:pPr>
        <w:ind w:firstLine="709"/>
        <w:jc w:val="both"/>
      </w:pPr>
      <w: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цьому договорі про закупівлю;</w:t>
      </w:r>
    </w:p>
    <w:p w:rsidR="00B22181" w:rsidRDefault="00F23961">
      <w:pPr>
        <w:ind w:firstLine="709"/>
        <w:jc w:val="both"/>
      </w:pPr>
      <w: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22181" w:rsidRDefault="00F23961">
      <w:pPr>
        <w:ind w:firstLine="709"/>
        <w:jc w:val="both"/>
      </w:pPr>
      <w: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w:t>
      </w:r>
    </w:p>
    <w:p w:rsidR="00B22181" w:rsidRDefault="00F23961">
      <w:pPr>
        <w:ind w:firstLine="709"/>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22181" w:rsidRDefault="00F23961">
      <w:pPr>
        <w:ind w:firstLine="709"/>
        <w:jc w:val="both"/>
      </w:pPr>
      <w:r>
        <w:t>8) зміни умов у зв’язку із застосуванням положень частини шостої статті 41 Закону України “Про публічні закупівлі”.</w:t>
      </w:r>
    </w:p>
    <w:p w:rsidR="00B22181" w:rsidRDefault="00F23961">
      <w:pPr>
        <w:ind w:firstLine="709"/>
        <w:jc w:val="both"/>
      </w:pPr>
      <w:r>
        <w:t>11.3. Пропозицію щодо внесення змін до договору може зробити кожна із сторін договору.</w:t>
      </w:r>
    </w:p>
    <w:p w:rsidR="00B22181" w:rsidRDefault="00F23961">
      <w:pPr>
        <w:ind w:firstLine="709"/>
        <w:jc w:val="both"/>
      </w:pPr>
      <w:r>
        <w:t>11.4.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B22181" w:rsidRDefault="00F23961">
      <w:pPr>
        <w:ind w:firstLine="709"/>
        <w:jc w:val="both"/>
      </w:pPr>
      <w:r>
        <w:t>11.5.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B22181" w:rsidRDefault="00B22181">
      <w:pPr>
        <w:ind w:firstLine="709"/>
        <w:jc w:val="both"/>
        <w:rPr>
          <w:b/>
        </w:rPr>
      </w:pPr>
    </w:p>
    <w:p w:rsidR="00B22181" w:rsidRDefault="00F23961">
      <w:pPr>
        <w:jc w:val="center"/>
        <w:rPr>
          <w:b/>
        </w:rPr>
      </w:pPr>
      <w:r>
        <w:rPr>
          <w:b/>
        </w:rPr>
        <w:t>12. Термін дії Договору</w:t>
      </w:r>
    </w:p>
    <w:p w:rsidR="00FA5702" w:rsidRDefault="00F23961">
      <w:pPr>
        <w:ind w:firstLine="709"/>
        <w:jc w:val="both"/>
      </w:pPr>
      <w:r>
        <w:t>12.1. Договір набирає чинності з дня його підписання уповноваженими представниками обох Сторін, скріплюється печатками (за наявн</w:t>
      </w:r>
      <w:r w:rsidR="00D432FE">
        <w:t>ості) Сторін і діє до 31.12.2024</w:t>
      </w:r>
      <w:r>
        <w:t xml:space="preserve"> р</w:t>
      </w:r>
      <w:r w:rsidR="00FA5702">
        <w:t>.</w:t>
      </w:r>
    </w:p>
    <w:p w:rsidR="00B22181" w:rsidRDefault="00F23961">
      <w:pPr>
        <w:ind w:firstLine="709"/>
        <w:jc w:val="both"/>
      </w:pPr>
      <w:r>
        <w:t>12.2. 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B22181" w:rsidRDefault="00F23961">
      <w:pPr>
        <w:jc w:val="center"/>
        <w:rPr>
          <w:b/>
        </w:rPr>
      </w:pPr>
      <w:r>
        <w:rPr>
          <w:b/>
        </w:rPr>
        <w:t>13. Інші умови</w:t>
      </w:r>
    </w:p>
    <w:p w:rsidR="00B22181" w:rsidRDefault="00F23961">
      <w:pPr>
        <w:ind w:firstLine="709"/>
        <w:jc w:val="both"/>
      </w:pPr>
      <w:r>
        <w:lastRenderedPageBreak/>
        <w:t>13.1. Дія Договору припиняється за згодою Сторін, з інших підстав, передбачених цим Договором та чинним законодавством України.</w:t>
      </w:r>
    </w:p>
    <w:p w:rsidR="00B22181" w:rsidRDefault="00F23961">
      <w:pPr>
        <w:jc w:val="center"/>
        <w:rPr>
          <w:b/>
        </w:rPr>
      </w:pPr>
      <w:r>
        <w:rPr>
          <w:b/>
        </w:rPr>
        <w:t>14. Антикорупційне застереження.</w:t>
      </w:r>
    </w:p>
    <w:p w:rsidR="00B22181" w:rsidRDefault="00F23961">
      <w:pPr>
        <w:ind w:firstLine="709"/>
        <w:jc w:val="both"/>
      </w:pPr>
      <w:r>
        <w:t xml:space="preserve">14.1. </w:t>
      </w:r>
      <w:bookmarkStart w:id="3" w:name="_Hlk127271719"/>
      <w:r>
        <w:t xml:space="preserve">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w:t>
      </w:r>
      <w:bookmarkEnd w:id="3"/>
      <w:r>
        <w:t>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B22181" w:rsidRDefault="00F23961">
      <w:pPr>
        <w:ind w:firstLine="709"/>
        <w:jc w:val="both"/>
      </w:pPr>
      <w:r>
        <w:t xml:space="preserve">14.2.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t>хабара</w:t>
      </w:r>
      <w:proofErr w:type="spellEnd"/>
      <w: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B22181" w:rsidRDefault="00F23961">
      <w:pPr>
        <w:ind w:firstLine="709"/>
        <w:jc w:val="both"/>
      </w:pPr>
      <w: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B22181" w:rsidRDefault="00F23961">
      <w:pPr>
        <w:ind w:firstLine="709"/>
        <w:jc w:val="both"/>
      </w:pPr>
      <w: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B22181" w:rsidRDefault="00B22181">
      <w:pPr>
        <w:ind w:firstLine="709"/>
        <w:jc w:val="both"/>
      </w:pPr>
    </w:p>
    <w:p w:rsidR="00B22181" w:rsidRDefault="00F23961">
      <w:pPr>
        <w:spacing w:after="120"/>
        <w:ind w:left="873" w:right="-34" w:hanging="873"/>
        <w:jc w:val="center"/>
        <w:rPr>
          <w:b/>
        </w:rPr>
      </w:pPr>
      <w:r>
        <w:rPr>
          <w:b/>
        </w:rPr>
        <w:t>15. Додатки до Договору</w:t>
      </w:r>
    </w:p>
    <w:p w:rsidR="00B22181" w:rsidRDefault="00F23961">
      <w:pPr>
        <w:ind w:firstLine="709"/>
        <w:jc w:val="both"/>
      </w:pPr>
      <w:r>
        <w:t>15.1. Невід’ємною частиною цього Договору є: Специфікація (Додаток 1).</w:t>
      </w:r>
    </w:p>
    <w:p w:rsidR="00B22181" w:rsidRDefault="00B22181">
      <w:pPr>
        <w:ind w:firstLine="709"/>
        <w:jc w:val="both"/>
        <w:rPr>
          <w:b/>
        </w:rPr>
      </w:pPr>
    </w:p>
    <w:p w:rsidR="00B22181" w:rsidRDefault="00F23961">
      <w:pPr>
        <w:rPr>
          <w:b/>
        </w:rPr>
      </w:pPr>
      <w:r>
        <w:rPr>
          <w:b/>
        </w:rPr>
        <w:br w:type="page"/>
      </w:r>
    </w:p>
    <w:p w:rsidR="00B22181" w:rsidRDefault="00F23961">
      <w:pPr>
        <w:jc w:val="center"/>
        <w:rPr>
          <w:b/>
        </w:rPr>
      </w:pPr>
      <w:r>
        <w:rPr>
          <w:b/>
        </w:rPr>
        <w:lastRenderedPageBreak/>
        <w:t>16. Місцезнаходження та банківські реквізити Сторін:</w:t>
      </w:r>
    </w:p>
    <w:p w:rsidR="00B22181" w:rsidRDefault="00B22181">
      <w:pPr>
        <w:ind w:firstLine="709"/>
        <w:jc w:val="center"/>
        <w:rPr>
          <w:b/>
        </w:rPr>
      </w:pPr>
    </w:p>
    <w:tbl>
      <w:tblPr>
        <w:tblW w:w="0" w:type="auto"/>
        <w:tblLook w:val="04A0" w:firstRow="1" w:lastRow="0" w:firstColumn="1" w:lastColumn="0" w:noHBand="0" w:noVBand="1"/>
      </w:tblPr>
      <w:tblGrid>
        <w:gridCol w:w="4840"/>
        <w:gridCol w:w="4724"/>
      </w:tblGrid>
      <w:tr w:rsidR="00B22181">
        <w:tc>
          <w:tcPr>
            <w:tcW w:w="4840" w:type="dxa"/>
          </w:tcPr>
          <w:p w:rsidR="00B22181" w:rsidRDefault="00F23961">
            <w:pPr>
              <w:jc w:val="center"/>
              <w:rPr>
                <w:b/>
              </w:rPr>
            </w:pPr>
            <w:bookmarkStart w:id="4" w:name="_Hlk78276676"/>
            <w:r>
              <w:rPr>
                <w:b/>
              </w:rPr>
              <w:t>ПОКУПЕЦЬ:</w:t>
            </w:r>
          </w:p>
          <w:p w:rsidR="00957A52" w:rsidRDefault="00957A52">
            <w:pPr>
              <w:jc w:val="center"/>
              <w:rPr>
                <w:b/>
              </w:rPr>
            </w:pPr>
          </w:p>
        </w:tc>
        <w:tc>
          <w:tcPr>
            <w:tcW w:w="4725" w:type="dxa"/>
          </w:tcPr>
          <w:p w:rsidR="00B22181" w:rsidRDefault="00F23961">
            <w:pPr>
              <w:jc w:val="center"/>
              <w:rPr>
                <w:b/>
              </w:rPr>
            </w:pPr>
            <w:r>
              <w:rPr>
                <w:b/>
              </w:rPr>
              <w:t>ПОСТАЧАЛЬНИК:</w:t>
            </w:r>
          </w:p>
        </w:tc>
      </w:tr>
      <w:tr w:rsidR="00B22181">
        <w:trPr>
          <w:trHeight w:val="291"/>
        </w:trPr>
        <w:tc>
          <w:tcPr>
            <w:tcW w:w="4840" w:type="dxa"/>
          </w:tcPr>
          <w:p w:rsidR="00957A52" w:rsidRDefault="00957A52" w:rsidP="00957A52">
            <w:r w:rsidRPr="009C3E09">
              <w:t>Відділ освіти, сім’ї, молоді та спорту виконавчого коміте</w:t>
            </w:r>
            <w:r>
              <w:t xml:space="preserve">ту </w:t>
            </w:r>
            <w:proofErr w:type="spellStart"/>
            <w:r>
              <w:t>Козельщинської</w:t>
            </w:r>
            <w:proofErr w:type="spellEnd"/>
            <w:r>
              <w:t xml:space="preserve"> селищної ради</w:t>
            </w:r>
          </w:p>
          <w:p w:rsidR="00957A52" w:rsidRPr="009C3E09" w:rsidRDefault="00957A52" w:rsidP="00957A52">
            <w:r>
              <w:t>Юридична адреса:</w:t>
            </w:r>
          </w:p>
          <w:p w:rsidR="00957A52" w:rsidRDefault="00957A52" w:rsidP="00957A52">
            <w:bookmarkStart w:id="5" w:name="_Hlk123025428"/>
            <w:r>
              <w:t xml:space="preserve">39100, Полтавська обл., Кременчуцький район, смт. </w:t>
            </w:r>
            <w:proofErr w:type="spellStart"/>
            <w:r>
              <w:t>Козельщина</w:t>
            </w:r>
            <w:proofErr w:type="spellEnd"/>
            <w:r>
              <w:t>, вул. Остроградського,75/15;</w:t>
            </w:r>
          </w:p>
          <w:p w:rsidR="00957A52" w:rsidRDefault="00957A52" w:rsidP="00957A52">
            <w:r>
              <w:t>Код ЄДРПОУ 42120272</w:t>
            </w:r>
          </w:p>
          <w:p w:rsidR="00957A52" w:rsidRPr="009C3E09" w:rsidRDefault="00957A52" w:rsidP="00957A52">
            <w:pPr>
              <w:rPr>
                <w:color w:val="000000"/>
              </w:rPr>
            </w:pPr>
            <w:r>
              <w:t>р/р</w:t>
            </w:r>
            <w:r>
              <w:rPr>
                <w:lang w:eastAsia="ru-RU"/>
              </w:rPr>
              <w:t>UA24820172034425001400008</w:t>
            </w:r>
            <w:r w:rsidRPr="00E217D4">
              <w:rPr>
                <w:lang w:eastAsia="ru-RU"/>
              </w:rPr>
              <w:t>1501</w:t>
            </w:r>
            <w:r w:rsidRPr="00B63B64">
              <w:rPr>
                <w:lang w:eastAsia="ru-RU"/>
              </w:rPr>
              <w:t xml:space="preserve">                                                                                                                                                 </w:t>
            </w:r>
            <w:r w:rsidRPr="009C3E09">
              <w:rPr>
                <w:lang w:eastAsia="ru-RU"/>
              </w:rPr>
              <w:t xml:space="preserve">                                          </w:t>
            </w:r>
          </w:p>
          <w:p w:rsidR="00957A52" w:rsidRDefault="00957A52" w:rsidP="00957A52">
            <w:pPr>
              <w:rPr>
                <w:lang w:eastAsia="ru-RU"/>
              </w:rPr>
            </w:pPr>
            <w:r>
              <w:rPr>
                <w:lang w:eastAsia="ru-RU"/>
              </w:rPr>
              <w:t xml:space="preserve">в </w:t>
            </w:r>
            <w:proofErr w:type="spellStart"/>
            <w:r>
              <w:rPr>
                <w:lang w:eastAsia="ru-RU"/>
              </w:rPr>
              <w:t>Держказначейська</w:t>
            </w:r>
            <w:proofErr w:type="spellEnd"/>
            <w:r>
              <w:rPr>
                <w:lang w:eastAsia="ru-RU"/>
              </w:rPr>
              <w:t xml:space="preserve"> служба України, </w:t>
            </w:r>
          </w:p>
          <w:p w:rsidR="00957A52" w:rsidRDefault="00957A52" w:rsidP="00957A52">
            <w:pPr>
              <w:rPr>
                <w:lang w:eastAsia="ru-RU"/>
              </w:rPr>
            </w:pPr>
            <w:r>
              <w:rPr>
                <w:lang w:eastAsia="ru-RU"/>
              </w:rPr>
              <w:t>МФО 820172</w:t>
            </w:r>
          </w:p>
          <w:p w:rsidR="00957A52" w:rsidRPr="00175089" w:rsidRDefault="00957A52" w:rsidP="00957A52">
            <w:pPr>
              <w:rPr>
                <w:lang w:eastAsia="ru-RU"/>
              </w:rPr>
            </w:pPr>
            <w:r>
              <w:rPr>
                <w:lang w:eastAsia="ru-RU"/>
              </w:rPr>
              <w:t xml:space="preserve">Телефони 3-12-24; 3-13-03; </w:t>
            </w:r>
          </w:p>
          <w:bookmarkEnd w:id="5"/>
          <w:p w:rsidR="00B22181" w:rsidRDefault="00B22181">
            <w:pPr>
              <w:jc w:val="center"/>
              <w:rPr>
                <w:b/>
              </w:rPr>
            </w:pPr>
          </w:p>
        </w:tc>
        <w:tc>
          <w:tcPr>
            <w:tcW w:w="4725" w:type="dxa"/>
            <w:vMerge w:val="restart"/>
          </w:tcPr>
          <w:p w:rsidR="00B22181" w:rsidRDefault="00B22181">
            <w:pPr>
              <w:jc w:val="center"/>
              <w:rPr>
                <w:b/>
              </w:rPr>
            </w:pPr>
          </w:p>
          <w:p w:rsidR="00B22181" w:rsidRDefault="00B22181">
            <w:pPr>
              <w:jc w:val="center"/>
            </w:pPr>
          </w:p>
          <w:p w:rsidR="00B22181" w:rsidRDefault="00B22181">
            <w:pPr>
              <w:shd w:val="clear" w:color="auto" w:fill="FFFFFF"/>
            </w:pPr>
          </w:p>
        </w:tc>
      </w:tr>
      <w:tr w:rsidR="00B22181" w:rsidTr="00957A52">
        <w:trPr>
          <w:trHeight w:val="267"/>
        </w:trPr>
        <w:tc>
          <w:tcPr>
            <w:tcW w:w="4840" w:type="dxa"/>
          </w:tcPr>
          <w:p w:rsidR="00B22181" w:rsidRDefault="00B22181">
            <w:pPr>
              <w:jc w:val="both"/>
            </w:pPr>
          </w:p>
        </w:tc>
        <w:tc>
          <w:tcPr>
            <w:tcW w:w="4725" w:type="dxa"/>
            <w:vMerge/>
          </w:tcPr>
          <w:p w:rsidR="00B22181" w:rsidRDefault="00B22181">
            <w:pPr>
              <w:jc w:val="both"/>
            </w:pPr>
          </w:p>
        </w:tc>
      </w:tr>
      <w:tr w:rsidR="00B22181">
        <w:trPr>
          <w:trHeight w:val="800"/>
        </w:trPr>
        <w:tc>
          <w:tcPr>
            <w:tcW w:w="4840" w:type="dxa"/>
          </w:tcPr>
          <w:p w:rsidR="00B22181" w:rsidRDefault="00B22181">
            <w:pPr>
              <w:jc w:val="both"/>
            </w:pPr>
          </w:p>
        </w:tc>
        <w:tc>
          <w:tcPr>
            <w:tcW w:w="4725" w:type="dxa"/>
            <w:vMerge/>
          </w:tcPr>
          <w:p w:rsidR="00B22181" w:rsidRDefault="00B22181">
            <w:pPr>
              <w:jc w:val="both"/>
            </w:pPr>
          </w:p>
        </w:tc>
      </w:tr>
      <w:tr w:rsidR="00B22181" w:rsidTr="00957A52">
        <w:trPr>
          <w:trHeight w:val="187"/>
        </w:trPr>
        <w:tc>
          <w:tcPr>
            <w:tcW w:w="4840" w:type="dxa"/>
          </w:tcPr>
          <w:p w:rsidR="00B22181" w:rsidRDefault="00957A52" w:rsidP="00957A52">
            <w:pPr>
              <w:tabs>
                <w:tab w:val="left" w:pos="368"/>
              </w:tabs>
              <w:ind w:left="-142" w:right="-36"/>
              <w:rPr>
                <w:b/>
              </w:rPr>
            </w:pPr>
            <w:r>
              <w:rPr>
                <w:b/>
              </w:rPr>
              <w:t xml:space="preserve">__________________ О.С. </w:t>
            </w:r>
            <w:proofErr w:type="spellStart"/>
            <w:r>
              <w:rPr>
                <w:b/>
              </w:rPr>
              <w:t>Кабаченко</w:t>
            </w:r>
            <w:proofErr w:type="spellEnd"/>
            <w:r>
              <w:rPr>
                <w:b/>
              </w:rPr>
              <w:t xml:space="preserve"> </w:t>
            </w:r>
          </w:p>
          <w:p w:rsidR="00B22181" w:rsidRDefault="00F23961">
            <w:pPr>
              <w:pStyle w:val="ab"/>
              <w:rPr>
                <w:b/>
                <w:lang w:val="uk-UA"/>
              </w:rPr>
            </w:pPr>
            <w:r>
              <w:rPr>
                <w:b/>
                <w:lang w:val="uk-UA"/>
              </w:rPr>
              <w:t>М.П.</w:t>
            </w:r>
          </w:p>
        </w:tc>
        <w:tc>
          <w:tcPr>
            <w:tcW w:w="4725" w:type="dxa"/>
          </w:tcPr>
          <w:p w:rsidR="00B22181" w:rsidRDefault="00F23961">
            <w:pPr>
              <w:tabs>
                <w:tab w:val="left" w:pos="368"/>
              </w:tabs>
              <w:ind w:right="-36" w:hanging="14"/>
              <w:rPr>
                <w:b/>
                <w:color w:val="000000"/>
              </w:rPr>
            </w:pPr>
            <w:r>
              <w:rPr>
                <w:b/>
                <w:color w:val="000000"/>
              </w:rPr>
              <w:t>________________________.</w:t>
            </w:r>
          </w:p>
          <w:p w:rsidR="00B22181" w:rsidRDefault="00F23961">
            <w:pPr>
              <w:pStyle w:val="ab"/>
              <w:rPr>
                <w:b/>
                <w:lang w:val="uk-UA"/>
              </w:rPr>
            </w:pPr>
            <w:r>
              <w:rPr>
                <w:b/>
                <w:color w:val="000000"/>
                <w:lang w:val="uk-UA"/>
              </w:rPr>
              <w:t>М.П.</w:t>
            </w:r>
          </w:p>
        </w:tc>
      </w:tr>
      <w:bookmarkEnd w:id="4"/>
    </w:tbl>
    <w:p w:rsidR="00B22181" w:rsidRDefault="00B22181">
      <w:pPr>
        <w:ind w:left="5670" w:right="-36"/>
      </w:pPr>
    </w:p>
    <w:p w:rsidR="00B22181" w:rsidRDefault="00F23961">
      <w:r>
        <w:br w:type="page"/>
      </w:r>
    </w:p>
    <w:p w:rsidR="00B22181" w:rsidRDefault="00F23961">
      <w:pPr>
        <w:ind w:left="5670" w:right="-36"/>
        <w:rPr>
          <w:b/>
        </w:rPr>
      </w:pPr>
      <w:r>
        <w:rPr>
          <w:b/>
        </w:rPr>
        <w:lastRenderedPageBreak/>
        <w:t>Додаток №1 до договору №_____</w:t>
      </w:r>
    </w:p>
    <w:p w:rsidR="00B22181" w:rsidRDefault="00D432FE">
      <w:pPr>
        <w:ind w:left="5670" w:right="-36"/>
      </w:pPr>
      <w:r>
        <w:t>від «___» _____________ 2024</w:t>
      </w:r>
      <w:r w:rsidR="00F23961">
        <w:t xml:space="preserve"> року</w:t>
      </w:r>
    </w:p>
    <w:p w:rsidR="00B22181" w:rsidRDefault="00B22181">
      <w:pPr>
        <w:ind w:left="-567"/>
      </w:pPr>
    </w:p>
    <w:p w:rsidR="00B22181" w:rsidRDefault="00F23961">
      <w:pPr>
        <w:ind w:left="-567"/>
        <w:jc w:val="center"/>
        <w:rPr>
          <w:b/>
        </w:rPr>
      </w:pPr>
      <w:r>
        <w:rPr>
          <w:b/>
        </w:rPr>
        <w:t>СПЕЦИФІКАЦІЯ</w:t>
      </w:r>
    </w:p>
    <w:tbl>
      <w:tblPr>
        <w:tblpPr w:leftFromText="180" w:rightFromText="180" w:vertAnchor="text" w:horzAnchor="margin" w:tblpXSpec="center" w:tblpY="150"/>
        <w:tblW w:w="9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8"/>
        <w:gridCol w:w="2129"/>
        <w:gridCol w:w="1984"/>
        <w:gridCol w:w="848"/>
        <w:gridCol w:w="1421"/>
        <w:gridCol w:w="1133"/>
        <w:gridCol w:w="1421"/>
      </w:tblGrid>
      <w:tr w:rsidR="00B22181">
        <w:trPr>
          <w:trHeight w:val="934"/>
        </w:trPr>
        <w:tc>
          <w:tcPr>
            <w:tcW w:w="568" w:type="dxa"/>
            <w:vAlign w:val="center"/>
          </w:tcPr>
          <w:p w:rsidR="00B22181" w:rsidRDefault="00F23961">
            <w:pPr>
              <w:pStyle w:val="TableParagraph"/>
              <w:tabs>
                <w:tab w:val="center" w:pos="4677"/>
                <w:tab w:val="right" w:pos="9355"/>
              </w:tabs>
              <w:ind w:left="179"/>
              <w:jc w:val="center"/>
            </w:pPr>
            <w:r>
              <w:t>№</w:t>
            </w:r>
          </w:p>
        </w:tc>
        <w:tc>
          <w:tcPr>
            <w:tcW w:w="2129" w:type="dxa"/>
            <w:vAlign w:val="center"/>
          </w:tcPr>
          <w:p w:rsidR="00B22181" w:rsidRDefault="00F23961">
            <w:pPr>
              <w:pStyle w:val="TableParagraph"/>
              <w:tabs>
                <w:tab w:val="center" w:pos="4677"/>
                <w:tab w:val="right" w:pos="9355"/>
              </w:tabs>
              <w:spacing w:before="209" w:line="242" w:lineRule="auto"/>
              <w:ind w:left="751" w:right="359" w:hanging="377"/>
              <w:jc w:val="center"/>
            </w:pPr>
            <w:proofErr w:type="spellStart"/>
            <w:r>
              <w:rPr>
                <w:spacing w:val="-1"/>
              </w:rPr>
              <w:t>Найменування</w:t>
            </w:r>
            <w:r>
              <w:t>товару</w:t>
            </w:r>
            <w:proofErr w:type="spellEnd"/>
          </w:p>
        </w:tc>
        <w:tc>
          <w:tcPr>
            <w:tcW w:w="1984" w:type="dxa"/>
            <w:vAlign w:val="center"/>
          </w:tcPr>
          <w:p w:rsidR="00B22181" w:rsidRDefault="00B22181">
            <w:pPr>
              <w:pStyle w:val="TableParagraph"/>
              <w:tabs>
                <w:tab w:val="center" w:pos="4677"/>
                <w:tab w:val="right" w:pos="9355"/>
              </w:tabs>
              <w:spacing w:line="251" w:lineRule="exact"/>
              <w:ind w:left="159"/>
              <w:jc w:val="center"/>
            </w:pPr>
          </w:p>
        </w:tc>
        <w:tc>
          <w:tcPr>
            <w:tcW w:w="848" w:type="dxa"/>
            <w:vAlign w:val="center"/>
          </w:tcPr>
          <w:p w:rsidR="00B22181" w:rsidRDefault="00F23961">
            <w:pPr>
              <w:pStyle w:val="TableParagraph"/>
              <w:tabs>
                <w:tab w:val="center" w:pos="4677"/>
                <w:tab w:val="right" w:pos="9355"/>
              </w:tabs>
              <w:spacing w:before="85"/>
              <w:ind w:left="79" w:right="71" w:firstLine="1"/>
              <w:jc w:val="center"/>
            </w:pPr>
            <w:proofErr w:type="spellStart"/>
            <w:r>
              <w:t>Од.Вимiру</w:t>
            </w:r>
            <w:proofErr w:type="spellEnd"/>
          </w:p>
        </w:tc>
        <w:tc>
          <w:tcPr>
            <w:tcW w:w="1421" w:type="dxa"/>
            <w:vAlign w:val="center"/>
          </w:tcPr>
          <w:p w:rsidR="00B22181" w:rsidRDefault="00F23961">
            <w:pPr>
              <w:pStyle w:val="TableParagraph"/>
              <w:tabs>
                <w:tab w:val="center" w:pos="4677"/>
                <w:tab w:val="right" w:pos="9355"/>
              </w:tabs>
              <w:spacing w:line="251" w:lineRule="exact"/>
              <w:ind w:left="137" w:right="133"/>
              <w:jc w:val="center"/>
            </w:pPr>
            <w:proofErr w:type="spellStart"/>
            <w:r>
              <w:t>Кiлькiсть</w:t>
            </w:r>
            <w:proofErr w:type="spellEnd"/>
          </w:p>
        </w:tc>
        <w:tc>
          <w:tcPr>
            <w:tcW w:w="1133" w:type="dxa"/>
            <w:vAlign w:val="center"/>
          </w:tcPr>
          <w:p w:rsidR="00B22181" w:rsidRDefault="00F23961">
            <w:pPr>
              <w:pStyle w:val="TableParagraph"/>
              <w:tabs>
                <w:tab w:val="center" w:pos="4677"/>
                <w:tab w:val="right" w:pos="9355"/>
              </w:tabs>
              <w:spacing w:before="85"/>
              <w:ind w:left="170" w:right="167"/>
              <w:jc w:val="center"/>
            </w:pPr>
            <w:proofErr w:type="spellStart"/>
            <w:r>
              <w:rPr>
                <w:spacing w:val="-1"/>
              </w:rPr>
              <w:t>Цiна</w:t>
            </w:r>
            <w:proofErr w:type="spellEnd"/>
            <w:r w:rsidR="00051C22">
              <w:rPr>
                <w:spacing w:val="-1"/>
              </w:rPr>
              <w:t xml:space="preserve"> </w:t>
            </w:r>
            <w:r>
              <w:t>без</w:t>
            </w:r>
            <w:r w:rsidR="00051C22">
              <w:t xml:space="preserve">/з </w:t>
            </w:r>
            <w:r>
              <w:t>ПДВ</w:t>
            </w:r>
          </w:p>
          <w:p w:rsidR="00B22181" w:rsidRDefault="00F23961">
            <w:pPr>
              <w:pStyle w:val="TableParagraph"/>
              <w:tabs>
                <w:tab w:val="center" w:pos="4677"/>
                <w:tab w:val="right" w:pos="9355"/>
              </w:tabs>
              <w:spacing w:line="251" w:lineRule="exact"/>
              <w:ind w:left="170" w:right="167"/>
              <w:jc w:val="center"/>
            </w:pPr>
            <w:r>
              <w:t>(грн.)</w:t>
            </w:r>
          </w:p>
        </w:tc>
        <w:tc>
          <w:tcPr>
            <w:tcW w:w="1421" w:type="dxa"/>
            <w:vAlign w:val="center"/>
          </w:tcPr>
          <w:p w:rsidR="00B22181" w:rsidRDefault="00F23961">
            <w:pPr>
              <w:pStyle w:val="TableParagraph"/>
              <w:tabs>
                <w:tab w:val="center" w:pos="4677"/>
                <w:tab w:val="right" w:pos="9355"/>
              </w:tabs>
              <w:spacing w:before="85"/>
              <w:ind w:left="137" w:right="131"/>
              <w:jc w:val="center"/>
            </w:pPr>
            <w:r>
              <w:rPr>
                <w:spacing w:val="-1"/>
              </w:rPr>
              <w:t xml:space="preserve">Сума </w:t>
            </w:r>
            <w:r>
              <w:t>без</w:t>
            </w:r>
            <w:r w:rsidR="00051C22">
              <w:t xml:space="preserve">/з </w:t>
            </w:r>
            <w:r>
              <w:t>ПДВ</w:t>
            </w:r>
          </w:p>
          <w:p w:rsidR="00B22181" w:rsidRDefault="00F23961">
            <w:pPr>
              <w:pStyle w:val="TableParagraph"/>
              <w:tabs>
                <w:tab w:val="center" w:pos="4677"/>
                <w:tab w:val="right" w:pos="9355"/>
              </w:tabs>
              <w:spacing w:line="251" w:lineRule="exact"/>
              <w:ind w:left="137" w:right="127"/>
              <w:jc w:val="center"/>
            </w:pPr>
            <w:r>
              <w:t>(грн.)</w:t>
            </w:r>
          </w:p>
        </w:tc>
      </w:tr>
      <w:tr w:rsidR="00B22181">
        <w:trPr>
          <w:trHeight w:val="622"/>
        </w:trPr>
        <w:tc>
          <w:tcPr>
            <w:tcW w:w="568" w:type="dxa"/>
          </w:tcPr>
          <w:p w:rsidR="00B22181" w:rsidRDefault="00F23961">
            <w:pPr>
              <w:pStyle w:val="TableParagraph"/>
              <w:tabs>
                <w:tab w:val="center" w:pos="4677"/>
                <w:tab w:val="right" w:pos="9355"/>
              </w:tabs>
              <w:spacing w:line="251" w:lineRule="exact"/>
              <w:ind w:left="59"/>
              <w:jc w:val="center"/>
            </w:pPr>
            <w:r>
              <w:t>1</w:t>
            </w:r>
          </w:p>
        </w:tc>
        <w:tc>
          <w:tcPr>
            <w:tcW w:w="2129" w:type="dxa"/>
          </w:tcPr>
          <w:p w:rsidR="00B22181" w:rsidRDefault="00B22181">
            <w:pPr>
              <w:pStyle w:val="TableParagraph"/>
              <w:tabs>
                <w:tab w:val="center" w:pos="4677"/>
                <w:tab w:val="right" w:pos="9355"/>
              </w:tabs>
              <w:spacing w:before="54"/>
              <w:ind w:left="58" w:right="701"/>
            </w:pPr>
          </w:p>
        </w:tc>
        <w:tc>
          <w:tcPr>
            <w:tcW w:w="1984" w:type="dxa"/>
          </w:tcPr>
          <w:p w:rsidR="00B22181" w:rsidRDefault="00B22181">
            <w:pPr>
              <w:pStyle w:val="TableParagraph"/>
              <w:tabs>
                <w:tab w:val="center" w:pos="4677"/>
                <w:tab w:val="right" w:pos="9355"/>
              </w:tabs>
              <w:spacing w:before="1" w:line="195" w:lineRule="exact"/>
              <w:ind w:left="55"/>
              <w:rPr>
                <w:sz w:val="18"/>
              </w:rPr>
            </w:pPr>
          </w:p>
        </w:tc>
        <w:tc>
          <w:tcPr>
            <w:tcW w:w="848" w:type="dxa"/>
          </w:tcPr>
          <w:p w:rsidR="00B22181" w:rsidRDefault="00B22181">
            <w:pPr>
              <w:pStyle w:val="TableParagraph"/>
              <w:tabs>
                <w:tab w:val="center" w:pos="4677"/>
                <w:tab w:val="right" w:pos="9355"/>
              </w:tabs>
              <w:spacing w:before="182"/>
              <w:ind w:left="269" w:right="262"/>
              <w:jc w:val="center"/>
            </w:pPr>
          </w:p>
        </w:tc>
        <w:tc>
          <w:tcPr>
            <w:tcW w:w="1421" w:type="dxa"/>
          </w:tcPr>
          <w:p w:rsidR="00B22181" w:rsidRDefault="00B22181">
            <w:pPr>
              <w:pStyle w:val="TableParagraph"/>
              <w:tabs>
                <w:tab w:val="center" w:pos="4677"/>
                <w:tab w:val="right" w:pos="9355"/>
              </w:tabs>
              <w:spacing w:before="182"/>
              <w:ind w:left="137" w:right="124"/>
              <w:jc w:val="center"/>
            </w:pPr>
          </w:p>
        </w:tc>
        <w:tc>
          <w:tcPr>
            <w:tcW w:w="1133" w:type="dxa"/>
          </w:tcPr>
          <w:p w:rsidR="00B22181" w:rsidRDefault="00B22181">
            <w:pPr>
              <w:pStyle w:val="TableParagraph"/>
              <w:tabs>
                <w:tab w:val="center" w:pos="4677"/>
                <w:tab w:val="right" w:pos="9355"/>
              </w:tabs>
              <w:spacing w:before="182"/>
              <w:ind w:left="262"/>
            </w:pPr>
          </w:p>
        </w:tc>
        <w:tc>
          <w:tcPr>
            <w:tcW w:w="1421" w:type="dxa"/>
          </w:tcPr>
          <w:p w:rsidR="00B22181" w:rsidRDefault="00B22181">
            <w:pPr>
              <w:pStyle w:val="TableParagraph"/>
              <w:tabs>
                <w:tab w:val="center" w:pos="4677"/>
                <w:tab w:val="right" w:pos="9355"/>
              </w:tabs>
              <w:spacing w:before="182"/>
              <w:ind w:right="285"/>
              <w:jc w:val="right"/>
            </w:pPr>
          </w:p>
        </w:tc>
      </w:tr>
      <w:tr w:rsidR="00B22181">
        <w:trPr>
          <w:trHeight w:val="622"/>
        </w:trPr>
        <w:tc>
          <w:tcPr>
            <w:tcW w:w="568" w:type="dxa"/>
          </w:tcPr>
          <w:p w:rsidR="00B22181" w:rsidRDefault="00F23961">
            <w:pPr>
              <w:pStyle w:val="TableParagraph"/>
              <w:tabs>
                <w:tab w:val="center" w:pos="4677"/>
                <w:tab w:val="right" w:pos="9355"/>
              </w:tabs>
              <w:spacing w:line="246" w:lineRule="exact"/>
              <w:ind w:left="59"/>
              <w:jc w:val="center"/>
            </w:pPr>
            <w:r>
              <w:t>2</w:t>
            </w:r>
          </w:p>
        </w:tc>
        <w:tc>
          <w:tcPr>
            <w:tcW w:w="2129" w:type="dxa"/>
          </w:tcPr>
          <w:p w:rsidR="00B22181" w:rsidRDefault="00B22181">
            <w:pPr>
              <w:pStyle w:val="TableParagraph"/>
              <w:tabs>
                <w:tab w:val="center" w:pos="4677"/>
                <w:tab w:val="right" w:pos="9355"/>
              </w:tabs>
              <w:spacing w:before="53"/>
              <w:ind w:left="58" w:right="480"/>
            </w:pPr>
          </w:p>
        </w:tc>
        <w:tc>
          <w:tcPr>
            <w:tcW w:w="1984" w:type="dxa"/>
          </w:tcPr>
          <w:p w:rsidR="00B22181" w:rsidRDefault="00B22181">
            <w:pPr>
              <w:pStyle w:val="TableParagraph"/>
              <w:tabs>
                <w:tab w:val="center" w:pos="4677"/>
                <w:tab w:val="right" w:pos="9355"/>
              </w:tabs>
              <w:spacing w:line="195" w:lineRule="exact"/>
              <w:ind w:left="55"/>
              <w:rPr>
                <w:sz w:val="18"/>
              </w:rPr>
            </w:pPr>
          </w:p>
        </w:tc>
        <w:tc>
          <w:tcPr>
            <w:tcW w:w="848" w:type="dxa"/>
          </w:tcPr>
          <w:p w:rsidR="00B22181" w:rsidRDefault="00B22181">
            <w:pPr>
              <w:pStyle w:val="TableParagraph"/>
              <w:tabs>
                <w:tab w:val="center" w:pos="4677"/>
                <w:tab w:val="right" w:pos="9355"/>
              </w:tabs>
              <w:spacing w:before="177"/>
              <w:ind w:left="269" w:right="262"/>
              <w:jc w:val="center"/>
            </w:pPr>
          </w:p>
        </w:tc>
        <w:tc>
          <w:tcPr>
            <w:tcW w:w="1421" w:type="dxa"/>
          </w:tcPr>
          <w:p w:rsidR="00B22181" w:rsidRDefault="00B22181">
            <w:pPr>
              <w:pStyle w:val="TableParagraph"/>
              <w:tabs>
                <w:tab w:val="center" w:pos="4677"/>
                <w:tab w:val="right" w:pos="9355"/>
              </w:tabs>
              <w:spacing w:before="177"/>
              <w:ind w:left="11"/>
              <w:jc w:val="center"/>
            </w:pPr>
          </w:p>
        </w:tc>
        <w:tc>
          <w:tcPr>
            <w:tcW w:w="1133" w:type="dxa"/>
          </w:tcPr>
          <w:p w:rsidR="00B22181" w:rsidRDefault="00B22181">
            <w:pPr>
              <w:pStyle w:val="TableParagraph"/>
              <w:tabs>
                <w:tab w:val="center" w:pos="4677"/>
                <w:tab w:val="right" w:pos="9355"/>
              </w:tabs>
              <w:spacing w:before="177"/>
              <w:ind w:left="262"/>
            </w:pPr>
          </w:p>
        </w:tc>
        <w:tc>
          <w:tcPr>
            <w:tcW w:w="1421" w:type="dxa"/>
          </w:tcPr>
          <w:p w:rsidR="00B22181" w:rsidRDefault="00B22181">
            <w:pPr>
              <w:pStyle w:val="TableParagraph"/>
              <w:tabs>
                <w:tab w:val="center" w:pos="4677"/>
                <w:tab w:val="right" w:pos="9355"/>
              </w:tabs>
              <w:spacing w:before="177"/>
              <w:ind w:right="341"/>
              <w:jc w:val="right"/>
            </w:pPr>
          </w:p>
        </w:tc>
      </w:tr>
      <w:tr w:rsidR="00B22181">
        <w:trPr>
          <w:trHeight w:val="618"/>
        </w:trPr>
        <w:tc>
          <w:tcPr>
            <w:tcW w:w="568" w:type="dxa"/>
          </w:tcPr>
          <w:p w:rsidR="00B22181" w:rsidRDefault="00F23961">
            <w:pPr>
              <w:pStyle w:val="TableParagraph"/>
              <w:tabs>
                <w:tab w:val="center" w:pos="4677"/>
                <w:tab w:val="right" w:pos="9355"/>
              </w:tabs>
              <w:spacing w:line="247" w:lineRule="exact"/>
              <w:ind w:left="59"/>
              <w:jc w:val="center"/>
            </w:pPr>
            <w:r>
              <w:t>3</w:t>
            </w:r>
          </w:p>
        </w:tc>
        <w:tc>
          <w:tcPr>
            <w:tcW w:w="2129" w:type="dxa"/>
          </w:tcPr>
          <w:p w:rsidR="00B22181" w:rsidRDefault="00B22181">
            <w:pPr>
              <w:pStyle w:val="TableParagraph"/>
              <w:tabs>
                <w:tab w:val="center" w:pos="4677"/>
                <w:tab w:val="right" w:pos="9355"/>
              </w:tabs>
              <w:spacing w:before="177"/>
              <w:ind w:left="58"/>
            </w:pPr>
          </w:p>
        </w:tc>
        <w:tc>
          <w:tcPr>
            <w:tcW w:w="1984" w:type="dxa"/>
          </w:tcPr>
          <w:p w:rsidR="00B22181" w:rsidRDefault="00B22181">
            <w:pPr>
              <w:pStyle w:val="TableParagraph"/>
              <w:tabs>
                <w:tab w:val="center" w:pos="4677"/>
                <w:tab w:val="right" w:pos="9355"/>
              </w:tabs>
              <w:spacing w:line="191" w:lineRule="exact"/>
              <w:ind w:left="55"/>
              <w:rPr>
                <w:sz w:val="18"/>
              </w:rPr>
            </w:pPr>
          </w:p>
        </w:tc>
        <w:tc>
          <w:tcPr>
            <w:tcW w:w="848" w:type="dxa"/>
          </w:tcPr>
          <w:p w:rsidR="00B22181" w:rsidRDefault="00B22181">
            <w:pPr>
              <w:pStyle w:val="TableParagraph"/>
              <w:tabs>
                <w:tab w:val="center" w:pos="4677"/>
                <w:tab w:val="right" w:pos="9355"/>
              </w:tabs>
              <w:spacing w:before="177"/>
              <w:ind w:left="269" w:right="262"/>
              <w:jc w:val="center"/>
            </w:pPr>
          </w:p>
        </w:tc>
        <w:tc>
          <w:tcPr>
            <w:tcW w:w="1421" w:type="dxa"/>
          </w:tcPr>
          <w:p w:rsidR="00B22181" w:rsidRDefault="00B22181">
            <w:pPr>
              <w:pStyle w:val="TableParagraph"/>
              <w:tabs>
                <w:tab w:val="center" w:pos="4677"/>
                <w:tab w:val="right" w:pos="9355"/>
              </w:tabs>
              <w:spacing w:before="177"/>
              <w:ind w:left="137" w:right="124"/>
              <w:jc w:val="center"/>
            </w:pPr>
          </w:p>
        </w:tc>
        <w:tc>
          <w:tcPr>
            <w:tcW w:w="1133" w:type="dxa"/>
          </w:tcPr>
          <w:p w:rsidR="00B22181" w:rsidRDefault="00B22181">
            <w:pPr>
              <w:pStyle w:val="TableParagraph"/>
              <w:tabs>
                <w:tab w:val="center" w:pos="4677"/>
                <w:tab w:val="right" w:pos="9355"/>
              </w:tabs>
              <w:spacing w:before="177"/>
              <w:ind w:left="262"/>
            </w:pPr>
          </w:p>
        </w:tc>
        <w:tc>
          <w:tcPr>
            <w:tcW w:w="1421" w:type="dxa"/>
          </w:tcPr>
          <w:p w:rsidR="00B22181" w:rsidRDefault="00B22181">
            <w:pPr>
              <w:pStyle w:val="TableParagraph"/>
              <w:tabs>
                <w:tab w:val="center" w:pos="4677"/>
                <w:tab w:val="right" w:pos="9355"/>
              </w:tabs>
              <w:spacing w:before="177"/>
              <w:ind w:right="285"/>
              <w:jc w:val="right"/>
            </w:pPr>
          </w:p>
        </w:tc>
      </w:tr>
      <w:tr w:rsidR="00B22181">
        <w:trPr>
          <w:trHeight w:val="551"/>
        </w:trPr>
        <w:tc>
          <w:tcPr>
            <w:tcW w:w="568" w:type="dxa"/>
          </w:tcPr>
          <w:p w:rsidR="00B22181" w:rsidRDefault="00F23961">
            <w:pPr>
              <w:pStyle w:val="TableParagraph"/>
              <w:tabs>
                <w:tab w:val="center" w:pos="4677"/>
                <w:tab w:val="right" w:pos="9355"/>
              </w:tabs>
              <w:spacing w:line="251" w:lineRule="exact"/>
              <w:ind w:left="59"/>
              <w:jc w:val="center"/>
            </w:pPr>
            <w:r>
              <w:t>4</w:t>
            </w:r>
          </w:p>
        </w:tc>
        <w:tc>
          <w:tcPr>
            <w:tcW w:w="2129" w:type="dxa"/>
          </w:tcPr>
          <w:p w:rsidR="00B22181" w:rsidRDefault="00B22181">
            <w:pPr>
              <w:pStyle w:val="TableParagraph"/>
              <w:tabs>
                <w:tab w:val="center" w:pos="4677"/>
                <w:tab w:val="right" w:pos="9355"/>
              </w:tabs>
              <w:ind w:left="58" w:right="668"/>
            </w:pPr>
          </w:p>
        </w:tc>
        <w:tc>
          <w:tcPr>
            <w:tcW w:w="1984" w:type="dxa"/>
          </w:tcPr>
          <w:p w:rsidR="00B22181" w:rsidRDefault="00B22181">
            <w:pPr>
              <w:pStyle w:val="TableParagraph"/>
              <w:tabs>
                <w:tab w:val="center" w:pos="4677"/>
                <w:tab w:val="right" w:pos="9355"/>
              </w:tabs>
              <w:spacing w:line="191" w:lineRule="exact"/>
              <w:ind w:left="55"/>
              <w:rPr>
                <w:sz w:val="18"/>
              </w:rPr>
            </w:pPr>
          </w:p>
        </w:tc>
        <w:tc>
          <w:tcPr>
            <w:tcW w:w="848" w:type="dxa"/>
          </w:tcPr>
          <w:p w:rsidR="00B22181" w:rsidRDefault="00B22181">
            <w:pPr>
              <w:pStyle w:val="TableParagraph"/>
              <w:tabs>
                <w:tab w:val="center" w:pos="4677"/>
                <w:tab w:val="right" w:pos="9355"/>
              </w:tabs>
              <w:ind w:left="269" w:right="262"/>
              <w:jc w:val="center"/>
            </w:pPr>
          </w:p>
        </w:tc>
        <w:tc>
          <w:tcPr>
            <w:tcW w:w="1421" w:type="dxa"/>
          </w:tcPr>
          <w:p w:rsidR="00B22181" w:rsidRDefault="00B22181">
            <w:pPr>
              <w:pStyle w:val="TableParagraph"/>
              <w:tabs>
                <w:tab w:val="center" w:pos="4677"/>
                <w:tab w:val="right" w:pos="9355"/>
              </w:tabs>
              <w:ind w:left="137" w:right="124"/>
              <w:jc w:val="center"/>
            </w:pPr>
          </w:p>
        </w:tc>
        <w:tc>
          <w:tcPr>
            <w:tcW w:w="1133" w:type="dxa"/>
          </w:tcPr>
          <w:p w:rsidR="00B22181" w:rsidRDefault="00B22181">
            <w:pPr>
              <w:pStyle w:val="TableParagraph"/>
              <w:tabs>
                <w:tab w:val="center" w:pos="4677"/>
                <w:tab w:val="right" w:pos="9355"/>
              </w:tabs>
              <w:ind w:left="262"/>
            </w:pPr>
          </w:p>
        </w:tc>
        <w:tc>
          <w:tcPr>
            <w:tcW w:w="1421" w:type="dxa"/>
          </w:tcPr>
          <w:p w:rsidR="00B22181" w:rsidRDefault="00B22181">
            <w:pPr>
              <w:pStyle w:val="TableParagraph"/>
              <w:tabs>
                <w:tab w:val="center" w:pos="4677"/>
                <w:tab w:val="right" w:pos="9355"/>
              </w:tabs>
              <w:ind w:right="285"/>
              <w:jc w:val="right"/>
            </w:pPr>
          </w:p>
        </w:tc>
      </w:tr>
      <w:tr w:rsidR="00B22181">
        <w:trPr>
          <w:trHeight w:val="321"/>
        </w:trPr>
        <w:tc>
          <w:tcPr>
            <w:tcW w:w="8083" w:type="dxa"/>
            <w:gridSpan w:val="6"/>
          </w:tcPr>
          <w:p w:rsidR="00B22181" w:rsidRDefault="00F23961">
            <w:pPr>
              <w:pStyle w:val="TableParagraph"/>
              <w:tabs>
                <w:tab w:val="center" w:pos="4677"/>
                <w:tab w:val="right" w:pos="9355"/>
              </w:tabs>
              <w:spacing w:line="251" w:lineRule="exact"/>
              <w:ind w:left="5044"/>
            </w:pPr>
            <w:r>
              <w:t>Загальна</w:t>
            </w:r>
            <w:r w:rsidR="00051C22">
              <w:t xml:space="preserve"> </w:t>
            </w:r>
            <w:r>
              <w:t xml:space="preserve">вартість без </w:t>
            </w:r>
            <w:proofErr w:type="spellStart"/>
            <w:r>
              <w:t>ПДВ,грн</w:t>
            </w:r>
            <w:proofErr w:type="spellEnd"/>
            <w:r>
              <w:t>.</w:t>
            </w:r>
          </w:p>
        </w:tc>
        <w:tc>
          <w:tcPr>
            <w:tcW w:w="1421" w:type="dxa"/>
          </w:tcPr>
          <w:p w:rsidR="00B22181" w:rsidRDefault="00B22181">
            <w:pPr>
              <w:pStyle w:val="TableParagraph"/>
              <w:tabs>
                <w:tab w:val="center" w:pos="4677"/>
                <w:tab w:val="right" w:pos="9355"/>
              </w:tabs>
              <w:spacing w:before="33"/>
              <w:ind w:left="58"/>
            </w:pPr>
          </w:p>
        </w:tc>
      </w:tr>
      <w:tr w:rsidR="00B22181">
        <w:trPr>
          <w:trHeight w:val="321"/>
        </w:trPr>
        <w:tc>
          <w:tcPr>
            <w:tcW w:w="8083" w:type="dxa"/>
            <w:gridSpan w:val="6"/>
          </w:tcPr>
          <w:p w:rsidR="00B22181" w:rsidRDefault="00F23961">
            <w:pPr>
              <w:pStyle w:val="TableParagraph"/>
              <w:tabs>
                <w:tab w:val="center" w:pos="4677"/>
                <w:tab w:val="right" w:pos="9355"/>
              </w:tabs>
              <w:spacing w:line="251" w:lineRule="exact"/>
              <w:ind w:right="36"/>
              <w:jc w:val="right"/>
            </w:pPr>
            <w:proofErr w:type="spellStart"/>
            <w:r>
              <w:t>СумаПДВ,грн</w:t>
            </w:r>
            <w:proofErr w:type="spellEnd"/>
            <w:r>
              <w:t>.</w:t>
            </w:r>
          </w:p>
        </w:tc>
        <w:tc>
          <w:tcPr>
            <w:tcW w:w="1421" w:type="dxa"/>
          </w:tcPr>
          <w:p w:rsidR="00B22181" w:rsidRDefault="00B22181">
            <w:pPr>
              <w:pStyle w:val="TableParagraph"/>
              <w:tabs>
                <w:tab w:val="center" w:pos="4677"/>
                <w:tab w:val="right" w:pos="9355"/>
              </w:tabs>
              <w:spacing w:before="33"/>
              <w:ind w:left="58"/>
            </w:pPr>
          </w:p>
        </w:tc>
      </w:tr>
      <w:tr w:rsidR="00B22181">
        <w:trPr>
          <w:trHeight w:val="322"/>
        </w:trPr>
        <w:tc>
          <w:tcPr>
            <w:tcW w:w="8083" w:type="dxa"/>
            <w:gridSpan w:val="6"/>
          </w:tcPr>
          <w:p w:rsidR="00B22181" w:rsidRDefault="00F23961">
            <w:pPr>
              <w:pStyle w:val="TableParagraph"/>
              <w:tabs>
                <w:tab w:val="center" w:pos="4677"/>
                <w:tab w:val="right" w:pos="9355"/>
              </w:tabs>
              <w:spacing w:line="251" w:lineRule="exact"/>
              <w:ind w:left="5144"/>
            </w:pPr>
            <w:r>
              <w:t>Загальна</w:t>
            </w:r>
            <w:r w:rsidR="00051C22">
              <w:t xml:space="preserve"> </w:t>
            </w:r>
            <w:r>
              <w:t>вартість</w:t>
            </w:r>
            <w:r w:rsidR="00051C22">
              <w:t xml:space="preserve"> </w:t>
            </w:r>
            <w:r>
              <w:t>з</w:t>
            </w:r>
            <w:r w:rsidR="00051C22">
              <w:t xml:space="preserve"> </w:t>
            </w:r>
            <w:proofErr w:type="spellStart"/>
            <w:r>
              <w:t>ПДВ,грн</w:t>
            </w:r>
            <w:proofErr w:type="spellEnd"/>
            <w:r>
              <w:t>.</w:t>
            </w:r>
          </w:p>
        </w:tc>
        <w:tc>
          <w:tcPr>
            <w:tcW w:w="1421" w:type="dxa"/>
          </w:tcPr>
          <w:p w:rsidR="00B22181" w:rsidRDefault="00B22181">
            <w:pPr>
              <w:pStyle w:val="TableParagraph"/>
              <w:tabs>
                <w:tab w:val="center" w:pos="4677"/>
                <w:tab w:val="right" w:pos="9355"/>
              </w:tabs>
              <w:spacing w:before="33"/>
              <w:ind w:left="58"/>
            </w:pPr>
          </w:p>
        </w:tc>
      </w:tr>
    </w:tbl>
    <w:p w:rsidR="00B22181" w:rsidRDefault="00B22181"/>
    <w:p w:rsidR="00B22181" w:rsidRDefault="00F23961">
      <w:pPr>
        <w:ind w:left="-567" w:firstLine="709"/>
        <w:jc w:val="both"/>
        <w:rPr>
          <w:sz w:val="22"/>
          <w:szCs w:val="22"/>
        </w:rPr>
      </w:pPr>
      <w:r>
        <w:rPr>
          <w:b/>
          <w:i/>
          <w:sz w:val="22"/>
          <w:szCs w:val="22"/>
        </w:rPr>
        <w:t xml:space="preserve">Загальна сума за специфікацією: </w:t>
      </w:r>
      <w:r>
        <w:rPr>
          <w:sz w:val="22"/>
          <w:szCs w:val="22"/>
        </w:rPr>
        <w:t>_____________ грн. (_______________________),в тому числі ПДВ – ________ грн.</w:t>
      </w:r>
    </w:p>
    <w:p w:rsidR="00B22181" w:rsidRDefault="00B22181"/>
    <w:p w:rsidR="00B22181" w:rsidRDefault="00B22181"/>
    <w:p w:rsidR="00B22181" w:rsidRDefault="00B22181"/>
    <w:p w:rsidR="00B22181" w:rsidRDefault="00B22181"/>
    <w:p w:rsidR="00B22181" w:rsidRDefault="00B22181"/>
    <w:tbl>
      <w:tblPr>
        <w:tblW w:w="0" w:type="auto"/>
        <w:tblLook w:val="04A0" w:firstRow="1" w:lastRow="0" w:firstColumn="1" w:lastColumn="0" w:noHBand="0" w:noVBand="1"/>
      </w:tblPr>
      <w:tblGrid>
        <w:gridCol w:w="4840"/>
        <w:gridCol w:w="4724"/>
      </w:tblGrid>
      <w:tr w:rsidR="00B22181">
        <w:tc>
          <w:tcPr>
            <w:tcW w:w="4840" w:type="dxa"/>
          </w:tcPr>
          <w:p w:rsidR="00B22181" w:rsidRDefault="00F23961">
            <w:pPr>
              <w:jc w:val="center"/>
              <w:rPr>
                <w:b/>
              </w:rPr>
            </w:pPr>
            <w:r>
              <w:rPr>
                <w:b/>
              </w:rPr>
              <w:t>ПОКУПЕЦЬ:</w:t>
            </w:r>
          </w:p>
        </w:tc>
        <w:tc>
          <w:tcPr>
            <w:tcW w:w="4725" w:type="dxa"/>
          </w:tcPr>
          <w:p w:rsidR="00B22181" w:rsidRDefault="00F23961">
            <w:pPr>
              <w:jc w:val="center"/>
              <w:rPr>
                <w:b/>
              </w:rPr>
            </w:pPr>
            <w:r>
              <w:rPr>
                <w:b/>
              </w:rPr>
              <w:t>ПОСТАЧАЛЬНИК:</w:t>
            </w:r>
          </w:p>
        </w:tc>
      </w:tr>
      <w:tr w:rsidR="00B22181">
        <w:trPr>
          <w:trHeight w:val="291"/>
        </w:trPr>
        <w:tc>
          <w:tcPr>
            <w:tcW w:w="4840" w:type="dxa"/>
          </w:tcPr>
          <w:p w:rsidR="00B22181" w:rsidRDefault="00B22181">
            <w:pPr>
              <w:jc w:val="center"/>
              <w:rPr>
                <w:b/>
              </w:rPr>
            </w:pPr>
          </w:p>
        </w:tc>
        <w:tc>
          <w:tcPr>
            <w:tcW w:w="4725" w:type="dxa"/>
            <w:vMerge w:val="restart"/>
          </w:tcPr>
          <w:p w:rsidR="00B22181" w:rsidRDefault="00B22181">
            <w:pPr>
              <w:jc w:val="center"/>
              <w:rPr>
                <w:b/>
              </w:rPr>
            </w:pPr>
          </w:p>
          <w:p w:rsidR="00B22181" w:rsidRDefault="00B22181">
            <w:pPr>
              <w:jc w:val="center"/>
            </w:pPr>
          </w:p>
          <w:p w:rsidR="00B22181" w:rsidRDefault="00B22181">
            <w:pPr>
              <w:shd w:val="clear" w:color="auto" w:fill="FFFFFF"/>
            </w:pPr>
          </w:p>
        </w:tc>
      </w:tr>
      <w:tr w:rsidR="00B22181">
        <w:trPr>
          <w:trHeight w:val="833"/>
        </w:trPr>
        <w:tc>
          <w:tcPr>
            <w:tcW w:w="4840" w:type="dxa"/>
          </w:tcPr>
          <w:p w:rsidR="00957A52" w:rsidRDefault="00957A52" w:rsidP="00957A52">
            <w:pPr>
              <w:jc w:val="both"/>
            </w:pPr>
            <w:r>
              <w:t xml:space="preserve">Відділ освіти, сім’ї, молоді та спорту виконавчого комітету </w:t>
            </w:r>
            <w:proofErr w:type="spellStart"/>
            <w:r>
              <w:t>Козельщинської</w:t>
            </w:r>
            <w:proofErr w:type="spellEnd"/>
            <w:r>
              <w:t xml:space="preserve"> селищної ради</w:t>
            </w:r>
          </w:p>
          <w:p w:rsidR="00957A52" w:rsidRDefault="00957A52" w:rsidP="00957A52">
            <w:pPr>
              <w:jc w:val="both"/>
            </w:pPr>
            <w:r>
              <w:t>Юридична адреса:</w:t>
            </w:r>
          </w:p>
          <w:p w:rsidR="00957A52" w:rsidRDefault="00957A52" w:rsidP="00957A52">
            <w:pPr>
              <w:jc w:val="both"/>
            </w:pPr>
            <w:r>
              <w:t xml:space="preserve">39100, Полтавська обл., Кременчуцький район, смт. </w:t>
            </w:r>
            <w:proofErr w:type="spellStart"/>
            <w:r>
              <w:t>Козельщина</w:t>
            </w:r>
            <w:proofErr w:type="spellEnd"/>
            <w:r>
              <w:t>, вул. Остроградського,75/15;</w:t>
            </w:r>
          </w:p>
          <w:p w:rsidR="00957A52" w:rsidRDefault="00957A52" w:rsidP="00957A52">
            <w:pPr>
              <w:jc w:val="both"/>
            </w:pPr>
            <w:r>
              <w:t>Код ЄДРПОУ 42120272</w:t>
            </w:r>
          </w:p>
          <w:p w:rsidR="00957A52" w:rsidRDefault="00957A52" w:rsidP="00957A52">
            <w:pPr>
              <w:jc w:val="both"/>
            </w:pPr>
            <w:r>
              <w:t xml:space="preserve">р/рUA248201720344250014000081501                                                                                                                                                                                           </w:t>
            </w:r>
          </w:p>
          <w:p w:rsidR="00694831" w:rsidRDefault="00957A52" w:rsidP="00957A52">
            <w:pPr>
              <w:jc w:val="both"/>
            </w:pPr>
            <w:r>
              <w:t xml:space="preserve">в </w:t>
            </w:r>
            <w:proofErr w:type="spellStart"/>
            <w:r>
              <w:t>Держказначейська</w:t>
            </w:r>
            <w:proofErr w:type="spellEnd"/>
            <w:r>
              <w:t xml:space="preserve"> служба України, </w:t>
            </w:r>
          </w:p>
          <w:p w:rsidR="00957A52" w:rsidRDefault="00957A52" w:rsidP="00957A52">
            <w:pPr>
              <w:jc w:val="both"/>
            </w:pPr>
            <w:bookmarkStart w:id="6" w:name="_GoBack"/>
            <w:bookmarkEnd w:id="6"/>
            <w:r>
              <w:t>МФО 820172</w:t>
            </w:r>
          </w:p>
          <w:p w:rsidR="00B22181" w:rsidRDefault="00957A52" w:rsidP="00957A52">
            <w:pPr>
              <w:jc w:val="both"/>
            </w:pPr>
            <w:r>
              <w:t>Телефони 3-12-24; 3-13-03;</w:t>
            </w:r>
          </w:p>
        </w:tc>
        <w:tc>
          <w:tcPr>
            <w:tcW w:w="4725" w:type="dxa"/>
            <w:vMerge/>
          </w:tcPr>
          <w:p w:rsidR="00B22181" w:rsidRDefault="00B22181">
            <w:pPr>
              <w:jc w:val="both"/>
            </w:pPr>
          </w:p>
        </w:tc>
      </w:tr>
      <w:tr w:rsidR="00B22181">
        <w:trPr>
          <w:trHeight w:val="800"/>
        </w:trPr>
        <w:tc>
          <w:tcPr>
            <w:tcW w:w="4840" w:type="dxa"/>
          </w:tcPr>
          <w:p w:rsidR="00B22181" w:rsidRDefault="00B22181">
            <w:pPr>
              <w:jc w:val="both"/>
            </w:pPr>
          </w:p>
        </w:tc>
        <w:tc>
          <w:tcPr>
            <w:tcW w:w="4725" w:type="dxa"/>
            <w:vMerge/>
          </w:tcPr>
          <w:p w:rsidR="00B22181" w:rsidRDefault="00B22181">
            <w:pPr>
              <w:jc w:val="both"/>
            </w:pPr>
          </w:p>
        </w:tc>
      </w:tr>
      <w:tr w:rsidR="00B22181">
        <w:tc>
          <w:tcPr>
            <w:tcW w:w="4840" w:type="dxa"/>
          </w:tcPr>
          <w:p w:rsidR="00957A52" w:rsidRPr="00957A52" w:rsidRDefault="00957A52" w:rsidP="00957A52">
            <w:pPr>
              <w:pStyle w:val="ab"/>
              <w:rPr>
                <w:b/>
                <w:lang w:val="uk-UA"/>
              </w:rPr>
            </w:pPr>
            <w:r w:rsidRPr="00957A52">
              <w:rPr>
                <w:b/>
                <w:lang w:val="uk-UA"/>
              </w:rPr>
              <w:t xml:space="preserve">__________________ О.С. </w:t>
            </w:r>
            <w:proofErr w:type="spellStart"/>
            <w:r w:rsidRPr="00957A52">
              <w:rPr>
                <w:b/>
                <w:lang w:val="uk-UA"/>
              </w:rPr>
              <w:t>Кабаченко</w:t>
            </w:r>
            <w:proofErr w:type="spellEnd"/>
            <w:r w:rsidRPr="00957A52">
              <w:rPr>
                <w:b/>
                <w:lang w:val="uk-UA"/>
              </w:rPr>
              <w:t xml:space="preserve"> </w:t>
            </w:r>
          </w:p>
          <w:p w:rsidR="00957A52" w:rsidRDefault="00957A52" w:rsidP="00957A52">
            <w:pPr>
              <w:pStyle w:val="ab"/>
              <w:rPr>
                <w:b/>
                <w:lang w:val="uk-UA"/>
              </w:rPr>
            </w:pPr>
            <w:r w:rsidRPr="00957A52">
              <w:rPr>
                <w:b/>
                <w:lang w:val="uk-UA"/>
              </w:rPr>
              <w:t>М.П.</w:t>
            </w:r>
          </w:p>
        </w:tc>
        <w:tc>
          <w:tcPr>
            <w:tcW w:w="4725" w:type="dxa"/>
          </w:tcPr>
          <w:p w:rsidR="00B22181" w:rsidRDefault="00B22181">
            <w:pPr>
              <w:pStyle w:val="ab"/>
              <w:rPr>
                <w:b/>
                <w:lang w:val="uk-UA"/>
              </w:rPr>
            </w:pPr>
          </w:p>
        </w:tc>
      </w:tr>
    </w:tbl>
    <w:p w:rsidR="00B22181" w:rsidRDefault="00B22181">
      <w:pPr>
        <w:ind w:right="-36"/>
        <w:jc w:val="both"/>
      </w:pPr>
    </w:p>
    <w:sectPr w:rsidR="00B22181">
      <w:footerReference w:type="default" r:id="rId6"/>
      <w:pgSz w:w="11900" w:h="16840"/>
      <w:pgMar w:top="851" w:right="851" w:bottom="1134" w:left="1701" w:header="0" w:footer="408" w:gutter="0"/>
      <w:cols w:space="99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DDC" w:rsidRDefault="00CC3DDC">
      <w:r>
        <w:separator/>
      </w:r>
    </w:p>
  </w:endnote>
  <w:endnote w:type="continuationSeparator" w:id="0">
    <w:p w:rsidR="00CC3DDC" w:rsidRDefault="00CC3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default"/>
    <w:sig w:usb0="00000287" w:usb1="00000000" w:usb2="00000000" w:usb3="00000000" w:csb0="2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181" w:rsidRDefault="00B2218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DDC" w:rsidRDefault="00CC3DDC">
      <w:r>
        <w:separator/>
      </w:r>
    </w:p>
  </w:footnote>
  <w:footnote w:type="continuationSeparator" w:id="0">
    <w:p w:rsidR="00CC3DDC" w:rsidRDefault="00CC3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4E40"/>
    <w:rsid w:val="00002FC0"/>
    <w:rsid w:val="00022B3F"/>
    <w:rsid w:val="00035417"/>
    <w:rsid w:val="000517A3"/>
    <w:rsid w:val="00051C22"/>
    <w:rsid w:val="000772DA"/>
    <w:rsid w:val="00090E06"/>
    <w:rsid w:val="000975D3"/>
    <w:rsid w:val="000B7CFE"/>
    <w:rsid w:val="000D0267"/>
    <w:rsid w:val="000D2617"/>
    <w:rsid w:val="000F7FAB"/>
    <w:rsid w:val="00120E97"/>
    <w:rsid w:val="0012488B"/>
    <w:rsid w:val="00152A31"/>
    <w:rsid w:val="00160076"/>
    <w:rsid w:val="00162D45"/>
    <w:rsid w:val="00171AB2"/>
    <w:rsid w:val="001936B3"/>
    <w:rsid w:val="001A33B5"/>
    <w:rsid w:val="001A6CBC"/>
    <w:rsid w:val="001C5CCE"/>
    <w:rsid w:val="001C614A"/>
    <w:rsid w:val="001D1D33"/>
    <w:rsid w:val="001E4393"/>
    <w:rsid w:val="001E75A3"/>
    <w:rsid w:val="001F0F40"/>
    <w:rsid w:val="0020484A"/>
    <w:rsid w:val="00221E6E"/>
    <w:rsid w:val="0024086C"/>
    <w:rsid w:val="002427F7"/>
    <w:rsid w:val="00243785"/>
    <w:rsid w:val="002504CC"/>
    <w:rsid w:val="002546BF"/>
    <w:rsid w:val="00254883"/>
    <w:rsid w:val="0026769F"/>
    <w:rsid w:val="002902A4"/>
    <w:rsid w:val="002A1F70"/>
    <w:rsid w:val="002A29B2"/>
    <w:rsid w:val="002B2D75"/>
    <w:rsid w:val="002B625D"/>
    <w:rsid w:val="002C3E8F"/>
    <w:rsid w:val="002E1BBB"/>
    <w:rsid w:val="002E1D03"/>
    <w:rsid w:val="002E2A71"/>
    <w:rsid w:val="002E2E95"/>
    <w:rsid w:val="002F144E"/>
    <w:rsid w:val="00333C86"/>
    <w:rsid w:val="003411EB"/>
    <w:rsid w:val="00372471"/>
    <w:rsid w:val="00395563"/>
    <w:rsid w:val="003A428F"/>
    <w:rsid w:val="003B4159"/>
    <w:rsid w:val="003C37E3"/>
    <w:rsid w:val="003C4A6B"/>
    <w:rsid w:val="003C6097"/>
    <w:rsid w:val="003D0AC5"/>
    <w:rsid w:val="003D379C"/>
    <w:rsid w:val="003E72A8"/>
    <w:rsid w:val="003F0351"/>
    <w:rsid w:val="00402179"/>
    <w:rsid w:val="00404683"/>
    <w:rsid w:val="00411BEF"/>
    <w:rsid w:val="004124CF"/>
    <w:rsid w:val="00415583"/>
    <w:rsid w:val="00420489"/>
    <w:rsid w:val="004247B2"/>
    <w:rsid w:val="00426713"/>
    <w:rsid w:val="00436513"/>
    <w:rsid w:val="00457742"/>
    <w:rsid w:val="00475A96"/>
    <w:rsid w:val="0048051F"/>
    <w:rsid w:val="00491311"/>
    <w:rsid w:val="00491957"/>
    <w:rsid w:val="0049673B"/>
    <w:rsid w:val="004A36FC"/>
    <w:rsid w:val="004B1AD2"/>
    <w:rsid w:val="004B48D3"/>
    <w:rsid w:val="004D3A91"/>
    <w:rsid w:val="004D6081"/>
    <w:rsid w:val="00503A6C"/>
    <w:rsid w:val="0051472F"/>
    <w:rsid w:val="0055363B"/>
    <w:rsid w:val="00565700"/>
    <w:rsid w:val="00566EF8"/>
    <w:rsid w:val="00575417"/>
    <w:rsid w:val="0057592A"/>
    <w:rsid w:val="00575A8D"/>
    <w:rsid w:val="005900C2"/>
    <w:rsid w:val="005933DF"/>
    <w:rsid w:val="005944E8"/>
    <w:rsid w:val="00596228"/>
    <w:rsid w:val="00597135"/>
    <w:rsid w:val="005B2112"/>
    <w:rsid w:val="005B230C"/>
    <w:rsid w:val="005B37AF"/>
    <w:rsid w:val="005B74CD"/>
    <w:rsid w:val="005C1CBB"/>
    <w:rsid w:val="005F1C83"/>
    <w:rsid w:val="005F4576"/>
    <w:rsid w:val="005F4979"/>
    <w:rsid w:val="0061268C"/>
    <w:rsid w:val="0061770E"/>
    <w:rsid w:val="00617AE9"/>
    <w:rsid w:val="00625049"/>
    <w:rsid w:val="00627A06"/>
    <w:rsid w:val="006303D2"/>
    <w:rsid w:val="00645C7D"/>
    <w:rsid w:val="00653F13"/>
    <w:rsid w:val="00654464"/>
    <w:rsid w:val="00681BB1"/>
    <w:rsid w:val="00687E2F"/>
    <w:rsid w:val="00694831"/>
    <w:rsid w:val="00697DA2"/>
    <w:rsid w:val="006A4B63"/>
    <w:rsid w:val="006A4C1C"/>
    <w:rsid w:val="006B497B"/>
    <w:rsid w:val="006C1A18"/>
    <w:rsid w:val="006C698F"/>
    <w:rsid w:val="006E3D28"/>
    <w:rsid w:val="006E4400"/>
    <w:rsid w:val="006E5447"/>
    <w:rsid w:val="006E577D"/>
    <w:rsid w:val="006F1DA5"/>
    <w:rsid w:val="006F23DB"/>
    <w:rsid w:val="007031E3"/>
    <w:rsid w:val="00710A24"/>
    <w:rsid w:val="007224B9"/>
    <w:rsid w:val="00741F8D"/>
    <w:rsid w:val="007438FE"/>
    <w:rsid w:val="00746A8D"/>
    <w:rsid w:val="00751584"/>
    <w:rsid w:val="007563FE"/>
    <w:rsid w:val="00760A60"/>
    <w:rsid w:val="007705FA"/>
    <w:rsid w:val="00770D9E"/>
    <w:rsid w:val="0077628B"/>
    <w:rsid w:val="007852E4"/>
    <w:rsid w:val="007A5A44"/>
    <w:rsid w:val="007C53E8"/>
    <w:rsid w:val="007C66A3"/>
    <w:rsid w:val="008141C1"/>
    <w:rsid w:val="00817985"/>
    <w:rsid w:val="00821FE0"/>
    <w:rsid w:val="00837895"/>
    <w:rsid w:val="00842D41"/>
    <w:rsid w:val="00843363"/>
    <w:rsid w:val="00846BCB"/>
    <w:rsid w:val="00846E11"/>
    <w:rsid w:val="008620F0"/>
    <w:rsid w:val="008643BD"/>
    <w:rsid w:val="008872F3"/>
    <w:rsid w:val="00891B54"/>
    <w:rsid w:val="00896F8D"/>
    <w:rsid w:val="008A4356"/>
    <w:rsid w:val="008B76CF"/>
    <w:rsid w:val="008C00B5"/>
    <w:rsid w:val="008C5B34"/>
    <w:rsid w:val="008E5744"/>
    <w:rsid w:val="0090460E"/>
    <w:rsid w:val="00947462"/>
    <w:rsid w:val="00956D42"/>
    <w:rsid w:val="00956DE9"/>
    <w:rsid w:val="00957A52"/>
    <w:rsid w:val="009772E3"/>
    <w:rsid w:val="009A16CC"/>
    <w:rsid w:val="009A3B75"/>
    <w:rsid w:val="009B6CE2"/>
    <w:rsid w:val="009C35D0"/>
    <w:rsid w:val="009C6957"/>
    <w:rsid w:val="009F2807"/>
    <w:rsid w:val="009F358A"/>
    <w:rsid w:val="00A21B5A"/>
    <w:rsid w:val="00A30332"/>
    <w:rsid w:val="00A33C7D"/>
    <w:rsid w:val="00A3505B"/>
    <w:rsid w:val="00A418CE"/>
    <w:rsid w:val="00A421B2"/>
    <w:rsid w:val="00A44A06"/>
    <w:rsid w:val="00A55735"/>
    <w:rsid w:val="00A56793"/>
    <w:rsid w:val="00A57D9C"/>
    <w:rsid w:val="00A60149"/>
    <w:rsid w:val="00A66A50"/>
    <w:rsid w:val="00A72338"/>
    <w:rsid w:val="00A745DB"/>
    <w:rsid w:val="00A7770D"/>
    <w:rsid w:val="00A83724"/>
    <w:rsid w:val="00A947E6"/>
    <w:rsid w:val="00A95DD6"/>
    <w:rsid w:val="00AA5E1C"/>
    <w:rsid w:val="00AB1A22"/>
    <w:rsid w:val="00AE2003"/>
    <w:rsid w:val="00AE4812"/>
    <w:rsid w:val="00AE6B98"/>
    <w:rsid w:val="00AE6DF6"/>
    <w:rsid w:val="00AF4614"/>
    <w:rsid w:val="00B071AB"/>
    <w:rsid w:val="00B1138E"/>
    <w:rsid w:val="00B22181"/>
    <w:rsid w:val="00B24BC5"/>
    <w:rsid w:val="00B36600"/>
    <w:rsid w:val="00B506F9"/>
    <w:rsid w:val="00B56B16"/>
    <w:rsid w:val="00B64271"/>
    <w:rsid w:val="00B65837"/>
    <w:rsid w:val="00B659D9"/>
    <w:rsid w:val="00B7741F"/>
    <w:rsid w:val="00BB4EA9"/>
    <w:rsid w:val="00BC0BD1"/>
    <w:rsid w:val="00BD61BC"/>
    <w:rsid w:val="00BE70DF"/>
    <w:rsid w:val="00BF711C"/>
    <w:rsid w:val="00C04180"/>
    <w:rsid w:val="00C05EF0"/>
    <w:rsid w:val="00C13E41"/>
    <w:rsid w:val="00C13ECF"/>
    <w:rsid w:val="00C16D2B"/>
    <w:rsid w:val="00C17B44"/>
    <w:rsid w:val="00C20AA3"/>
    <w:rsid w:val="00C2783B"/>
    <w:rsid w:val="00C42209"/>
    <w:rsid w:val="00C439C0"/>
    <w:rsid w:val="00C43B43"/>
    <w:rsid w:val="00C5010F"/>
    <w:rsid w:val="00C5476C"/>
    <w:rsid w:val="00C606DD"/>
    <w:rsid w:val="00C75097"/>
    <w:rsid w:val="00C84AFD"/>
    <w:rsid w:val="00C87D33"/>
    <w:rsid w:val="00C91204"/>
    <w:rsid w:val="00CA6C98"/>
    <w:rsid w:val="00CB5CB3"/>
    <w:rsid w:val="00CB7EE1"/>
    <w:rsid w:val="00CC37EC"/>
    <w:rsid w:val="00CC3DDC"/>
    <w:rsid w:val="00CE4A13"/>
    <w:rsid w:val="00CE77EE"/>
    <w:rsid w:val="00D00002"/>
    <w:rsid w:val="00D10B5D"/>
    <w:rsid w:val="00D12337"/>
    <w:rsid w:val="00D14E40"/>
    <w:rsid w:val="00D175E9"/>
    <w:rsid w:val="00D17F68"/>
    <w:rsid w:val="00D25725"/>
    <w:rsid w:val="00D31158"/>
    <w:rsid w:val="00D432FE"/>
    <w:rsid w:val="00D4460C"/>
    <w:rsid w:val="00D52132"/>
    <w:rsid w:val="00D558EA"/>
    <w:rsid w:val="00D6108F"/>
    <w:rsid w:val="00D77801"/>
    <w:rsid w:val="00D77D51"/>
    <w:rsid w:val="00D933AE"/>
    <w:rsid w:val="00D96CA5"/>
    <w:rsid w:val="00DA6E77"/>
    <w:rsid w:val="00DB39E3"/>
    <w:rsid w:val="00DD0A34"/>
    <w:rsid w:val="00DD2AB9"/>
    <w:rsid w:val="00DD4BF1"/>
    <w:rsid w:val="00DE32C4"/>
    <w:rsid w:val="00DF3DC1"/>
    <w:rsid w:val="00E0601A"/>
    <w:rsid w:val="00E07937"/>
    <w:rsid w:val="00E30A6D"/>
    <w:rsid w:val="00E31405"/>
    <w:rsid w:val="00E35ECB"/>
    <w:rsid w:val="00E36F22"/>
    <w:rsid w:val="00E4157B"/>
    <w:rsid w:val="00E5021F"/>
    <w:rsid w:val="00E532E4"/>
    <w:rsid w:val="00E636C7"/>
    <w:rsid w:val="00E6556D"/>
    <w:rsid w:val="00E73A71"/>
    <w:rsid w:val="00E9790B"/>
    <w:rsid w:val="00EA02A2"/>
    <w:rsid w:val="00EA0E5E"/>
    <w:rsid w:val="00EA2A2C"/>
    <w:rsid w:val="00EA3657"/>
    <w:rsid w:val="00EA726F"/>
    <w:rsid w:val="00EB15BF"/>
    <w:rsid w:val="00EB2105"/>
    <w:rsid w:val="00EC2F69"/>
    <w:rsid w:val="00EE485B"/>
    <w:rsid w:val="00EE4970"/>
    <w:rsid w:val="00EF25DC"/>
    <w:rsid w:val="00F22694"/>
    <w:rsid w:val="00F23961"/>
    <w:rsid w:val="00F33299"/>
    <w:rsid w:val="00F36A9D"/>
    <w:rsid w:val="00F56B41"/>
    <w:rsid w:val="00F720DE"/>
    <w:rsid w:val="00F76A73"/>
    <w:rsid w:val="00FA19A4"/>
    <w:rsid w:val="00FA5702"/>
    <w:rsid w:val="00FA7BE5"/>
    <w:rsid w:val="00FB4B24"/>
    <w:rsid w:val="00FC6B01"/>
    <w:rsid w:val="00FD1065"/>
    <w:rsid w:val="00FE4293"/>
    <w:rsid w:val="00FE6FB8"/>
    <w:rsid w:val="00FF14EA"/>
    <w:rsid w:val="0908368A"/>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E77CD"/>
  <w15:docId w15:val="{98122CF1-C3BE-4C89-9F7E-1A5F30AA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uiPriority w:val="9"/>
    <w:qFormat/>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Pr>
      <w:sz w:val="16"/>
      <w:szCs w:val="16"/>
    </w:rPr>
  </w:style>
  <w:style w:type="character" w:styleId="a4">
    <w:name w:val="Hyperlink"/>
    <w:uiPriority w:val="99"/>
    <w:unhideWhenUsed/>
    <w:rPr>
      <w:color w:val="0000FF"/>
      <w:u w:val="single"/>
    </w:rPr>
  </w:style>
  <w:style w:type="paragraph" w:styleId="a5">
    <w:name w:val="Balloon Text"/>
    <w:basedOn w:val="a"/>
    <w:link w:val="a6"/>
    <w:uiPriority w:val="99"/>
    <w:semiHidden/>
    <w:unhideWhenUsed/>
    <w:rPr>
      <w:rFonts w:ascii="Segoe UI" w:hAnsi="Segoe UI" w:cs="Segoe UI"/>
      <w:sz w:val="18"/>
      <w:szCs w:val="18"/>
    </w:rPr>
  </w:style>
  <w:style w:type="paragraph" w:styleId="a7">
    <w:name w:val="header"/>
    <w:basedOn w:val="a"/>
    <w:link w:val="a8"/>
    <w:uiPriority w:val="99"/>
    <w:unhideWhenUsed/>
    <w:pPr>
      <w:tabs>
        <w:tab w:val="center" w:pos="4677"/>
        <w:tab w:val="right" w:pos="9355"/>
      </w:tabs>
    </w:pPr>
  </w:style>
  <w:style w:type="paragraph" w:styleId="a9">
    <w:name w:val="footer"/>
    <w:basedOn w:val="a"/>
    <w:link w:val="aa"/>
    <w:uiPriority w:val="99"/>
    <w:unhideWhenUsed/>
    <w:pPr>
      <w:tabs>
        <w:tab w:val="center" w:pos="4677"/>
        <w:tab w:val="right" w:pos="9355"/>
      </w:tabs>
    </w:pPr>
  </w:style>
  <w:style w:type="paragraph" w:styleId="ab">
    <w:name w:val="Normal (Web)"/>
    <w:basedOn w:val="a"/>
    <w:uiPriority w:val="99"/>
    <w:unhideWhenUsed/>
    <w:qFormat/>
    <w:pPr>
      <w:spacing w:before="100" w:beforeAutospacing="1" w:after="100" w:afterAutospacing="1"/>
    </w:pPr>
    <w:rPr>
      <w:lang w:val="ru-RU" w:eastAsia="ru-RU"/>
    </w:rPr>
  </w:style>
  <w:style w:type="paragraph" w:styleId="ac">
    <w:name w:val="Subtitle"/>
    <w:basedOn w:val="a"/>
    <w:next w:val="a"/>
    <w:link w:val="ad"/>
    <w:pPr>
      <w:keepNext/>
      <w:keepLines/>
      <w:spacing w:before="360" w:after="80"/>
    </w:pPr>
    <w:rPr>
      <w:rFonts w:ascii="Georgia" w:eastAsia="Georgia" w:hAnsi="Georgia"/>
      <w:i/>
      <w:color w:val="666666"/>
      <w:sz w:val="48"/>
      <w:szCs w:val="48"/>
      <w:lang w:eastAsia="ru-RU"/>
    </w:rPr>
  </w:style>
  <w:style w:type="table" w:styleId="ae">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31">
    <w:name w:val="st131"/>
    <w:uiPriority w:val="99"/>
    <w:rPr>
      <w:i/>
      <w:iCs/>
      <w:color w:val="0000FF"/>
    </w:rPr>
  </w:style>
  <w:style w:type="character" w:customStyle="1" w:styleId="st46">
    <w:name w:val="st46"/>
    <w:uiPriority w:val="99"/>
    <w:rPr>
      <w:i/>
      <w:iCs/>
      <w:color w:val="000000"/>
    </w:rPr>
  </w:style>
  <w:style w:type="character" w:customStyle="1" w:styleId="st42">
    <w:name w:val="st42"/>
    <w:uiPriority w:val="99"/>
    <w:rPr>
      <w:color w:val="000000"/>
    </w:rPr>
  </w:style>
  <w:style w:type="paragraph" w:customStyle="1" w:styleId="st2">
    <w:name w:val="st2"/>
    <w:uiPriority w:val="99"/>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paragraph" w:customStyle="1" w:styleId="tj">
    <w:name w:val="tj"/>
    <w:basedOn w:val="a"/>
    <w:pPr>
      <w:spacing w:before="100" w:beforeAutospacing="1" w:after="100" w:afterAutospacing="1"/>
    </w:pPr>
    <w:rPr>
      <w:lang w:val="ru-RU" w:eastAsia="ru-RU"/>
    </w:rPr>
  </w:style>
  <w:style w:type="character" w:customStyle="1" w:styleId="a8">
    <w:name w:val="Верхний колонтитул Знак"/>
    <w:link w:val="a7"/>
    <w:uiPriority w:val="99"/>
    <w:rPr>
      <w:rFonts w:ascii="Times New Roman" w:eastAsia="Times New Roman" w:hAnsi="Times New Roman"/>
      <w:sz w:val="24"/>
      <w:szCs w:val="24"/>
      <w:lang w:val="uk-UA" w:eastAsia="uk-UA"/>
    </w:rPr>
  </w:style>
  <w:style w:type="character" w:customStyle="1" w:styleId="aa">
    <w:name w:val="Нижний колонтитул Знак"/>
    <w:link w:val="a9"/>
    <w:uiPriority w:val="99"/>
    <w:rPr>
      <w:rFonts w:ascii="Times New Roman" w:eastAsia="Times New Roman" w:hAnsi="Times New Roman"/>
      <w:sz w:val="24"/>
      <w:szCs w:val="24"/>
      <w:lang w:val="uk-UA" w:eastAsia="uk-UA"/>
    </w:rPr>
  </w:style>
  <w:style w:type="character" w:customStyle="1" w:styleId="FontStyle11">
    <w:name w:val="Font Style11"/>
    <w:uiPriority w:val="99"/>
    <w:rPr>
      <w:rFonts w:ascii="Times New Roman" w:hAnsi="Times New Roman" w:cs="Times New Roman"/>
      <w:b/>
      <w:bCs/>
      <w:sz w:val="22"/>
      <w:szCs w:val="22"/>
    </w:rPr>
  </w:style>
  <w:style w:type="character" w:customStyle="1" w:styleId="10">
    <w:name w:val="Заголовок 1 Знак"/>
    <w:link w:val="1"/>
    <w:uiPriority w:val="9"/>
    <w:rPr>
      <w:rFonts w:ascii="Calibri Light" w:eastAsia="Times New Roman" w:hAnsi="Calibri Light" w:cs="Times New Roman"/>
      <w:b/>
      <w:bCs/>
      <w:kern w:val="32"/>
      <w:sz w:val="32"/>
      <w:szCs w:val="32"/>
      <w:lang w:val="uk-UA" w:eastAsia="uk-UA"/>
    </w:rPr>
  </w:style>
  <w:style w:type="character" w:customStyle="1" w:styleId="af">
    <w:name w:val="Неразрешенное упоминание"/>
    <w:uiPriority w:val="99"/>
    <w:semiHidden/>
    <w:unhideWhenUsed/>
    <w:rPr>
      <w:color w:val="605E5C"/>
      <w:shd w:val="clear" w:color="auto" w:fill="E1DFDD"/>
    </w:rPr>
  </w:style>
  <w:style w:type="character" w:customStyle="1" w:styleId="ad">
    <w:name w:val="Подзаголовок Знак"/>
    <w:link w:val="ac"/>
    <w:rPr>
      <w:rFonts w:ascii="Georgia" w:eastAsia="Georgia" w:hAnsi="Georgia" w:cs="Georgia"/>
      <w:i/>
      <w:color w:val="666666"/>
      <w:sz w:val="48"/>
      <w:szCs w:val="48"/>
      <w:lang w:eastAsia="ru-RU"/>
    </w:rPr>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a"/>
    <w:uiPriority w:val="1"/>
    <w:qFormat/>
    <w:pPr>
      <w:widowControl w:val="0"/>
      <w:autoSpaceDE w:val="0"/>
      <w:autoSpaceDN w:val="0"/>
    </w:pPr>
    <w:rPr>
      <w:sz w:val="22"/>
      <w:szCs w:val="22"/>
      <w:lang w:eastAsia="en-US"/>
    </w:rPr>
  </w:style>
  <w:style w:type="character" w:customStyle="1" w:styleId="a6">
    <w:name w:val="Текст выноски Знак"/>
    <w:basedOn w:val="a0"/>
    <w:link w:val="a5"/>
    <w:uiPriority w:val="99"/>
    <w:semiHidden/>
    <w:rPr>
      <w:rFonts w:ascii="Segoe UI" w:eastAsia="Times New Roman" w:hAnsi="Segoe UI" w:cs="Segoe UI"/>
      <w:sz w:val="18"/>
      <w:szCs w:val="18"/>
      <w:lang w:val="uk-UA" w:eastAsia="uk-UA"/>
    </w:rPr>
  </w:style>
  <w:style w:type="paragraph" w:customStyle="1" w:styleId="af0">
    <w:name w:val="Обычный мой"/>
    <w:basedOn w:val="a"/>
    <w:qFormat/>
    <w:pPr>
      <w:spacing w:line="360" w:lineRule="auto"/>
      <w:ind w:firstLine="709"/>
      <w:jc w:val="both"/>
    </w:pPr>
    <w:rPr>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3042</Words>
  <Characters>17340</Characters>
  <Application>Microsoft Office Word</Application>
  <DocSecurity>0</DocSecurity>
  <Lines>144</Lines>
  <Paragraphs>40</Paragraphs>
  <ScaleCrop>false</ScaleCrop>
  <Company>Microsoft</Company>
  <LinksUpToDate>false</LinksUpToDate>
  <CharactersWithSpaces>20342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на закупівлю товару</dc:title>
  <dc:creator>Zverdvd.org</dc:creator>
  <cp:lastModifiedBy>*</cp:lastModifiedBy>
  <cp:revision>7</cp:revision>
  <cp:lastPrinted>2023-05-12T09:57:00Z</cp:lastPrinted>
  <dcterms:created xsi:type="dcterms:W3CDTF">2023-10-11T11:34:00Z</dcterms:created>
  <dcterms:modified xsi:type="dcterms:W3CDTF">2024-04-18T11:50:00Z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DF9AE1110CCF49C0A879A44FD73045C5_12</vt:lpwstr>
  </property>
</Properties>
</file>