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0"/>
        </w:tabs>
        <w:jc w:val="right"/>
        <w:rPr>
          <w:b/>
          <w:lang w:val="uk-UA"/>
        </w:rPr>
      </w:pPr>
      <w:r>
        <w:rPr>
          <w:b/>
          <w:lang w:val="uk-UA"/>
        </w:rPr>
        <w:t>Додаток 1</w:t>
      </w:r>
    </w:p>
    <w:p>
      <w:pPr>
        <w:tabs>
          <w:tab w:val="left" w:pos="1320"/>
        </w:tabs>
        <w:jc w:val="right"/>
        <w:rPr>
          <w:lang w:val="uk-UA"/>
        </w:rPr>
      </w:pPr>
      <w:r>
        <w:rPr>
          <w:lang w:val="uk-UA"/>
        </w:rPr>
        <w:t>до оголошення</w:t>
      </w:r>
    </w:p>
    <w:p>
      <w:pPr>
        <w:tabs>
          <w:tab w:val="left" w:pos="1320"/>
        </w:tabs>
        <w:jc w:val="right"/>
        <w:rPr>
          <w:lang w:val="uk-UA"/>
        </w:rPr>
      </w:pPr>
    </w:p>
    <w:p>
      <w:pPr>
        <w:tabs>
          <w:tab w:val="left" w:pos="1320"/>
        </w:tabs>
        <w:jc w:val="center"/>
        <w:rPr>
          <w:b/>
          <w:lang w:val="uk-UA"/>
        </w:rPr>
      </w:pPr>
      <w:r>
        <w:rPr>
          <w:b/>
          <w:bCs/>
          <w:lang w:val="uk-UA"/>
        </w:rPr>
        <w:t>ТЕХНІЧНІ ТА ЗАГАЛЬНІ ВИМОГИ ДО ПРЕДМЕТА ЗАКУПІВЛІ ТА СПОСІБ ЇХ ДОКУМЕНТАЛЬНОГО ПІДТВЕРДЖЕННЯ</w:t>
      </w:r>
    </w:p>
    <w:p>
      <w:pPr>
        <w:tabs>
          <w:tab w:val="left" w:pos="1320"/>
        </w:tabs>
        <w:jc w:val="center"/>
        <w:rPr>
          <w:b/>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p>
    <w:p>
      <w:pPr>
        <w:jc w:val="both"/>
        <w:rPr>
          <w:color w:val="000000"/>
          <w:lang w:val="uk-UA"/>
        </w:rPr>
      </w:pPr>
      <w:r>
        <w:rPr>
          <w:b/>
          <w:lang w:val="uk-UA"/>
        </w:rPr>
        <w:t xml:space="preserve">ДК 021:-2015 </w:t>
      </w:r>
      <w:r>
        <w:rPr>
          <w:rFonts w:eastAsia="SimSun"/>
          <w:b/>
          <w:color w:val="000000"/>
          <w:lang w:val="uk-UA" w:eastAsia="zh-CN" w:bidi="ar"/>
        </w:rPr>
        <w:t>3</w:t>
      </w:r>
      <w:r>
        <w:rPr>
          <w:rFonts w:hint="default" w:eastAsia="SimSun"/>
          <w:b/>
          <w:color w:val="000000"/>
          <w:lang w:val="uk-UA" w:eastAsia="zh-CN" w:bidi="ar"/>
        </w:rPr>
        <w:t>3</w:t>
      </w:r>
      <w:bookmarkStart w:id="0" w:name="_GoBack"/>
      <w:bookmarkEnd w:id="0"/>
      <w:r>
        <w:rPr>
          <w:rFonts w:eastAsia="SimSun"/>
          <w:b/>
          <w:color w:val="000000"/>
          <w:lang w:val="uk-UA" w:eastAsia="zh-CN" w:bidi="ar"/>
        </w:rPr>
        <w:t>120000 – 7 «</w:t>
      </w:r>
      <w:r>
        <w:rPr>
          <w:rFonts w:eastAsia="Segoe UI"/>
          <w:b/>
          <w:color w:val="000000"/>
          <w:lang w:val="uk-UA"/>
        </w:rPr>
        <w:t>Системи реєстрації медичної інформації та дослідне обладнання</w:t>
      </w:r>
      <w:r>
        <w:rPr>
          <w:rFonts w:eastAsia="SimSun"/>
          <w:b/>
          <w:color w:val="000000"/>
          <w:lang w:val="uk-UA" w:eastAsia="zh-CN" w:bidi="ar"/>
        </w:rPr>
        <w:t xml:space="preserve">», </w:t>
      </w:r>
      <w:r>
        <w:rPr>
          <w:b/>
          <w:bCs/>
          <w:lang w:val="uk-UA"/>
        </w:rPr>
        <w:t>НК 024:2019 – 35162 – «Реєстратор амбулаторний для тривалого електрокардіографічного моніторингу»</w:t>
      </w:r>
      <w:r>
        <w:rPr>
          <w:lang w:val="uk-UA"/>
        </w:rPr>
        <w:t>,</w:t>
      </w:r>
      <w:r>
        <w:rPr>
          <w:rFonts w:eastAsia="SimSun"/>
          <w:b/>
          <w:color w:val="000000"/>
          <w:lang w:val="uk-UA" w:eastAsia="zh-CN" w:bidi="ar"/>
        </w:rPr>
        <w:t xml:space="preserve"> </w:t>
      </w:r>
      <w:r>
        <w:rPr>
          <w:rFonts w:eastAsia="SimSun"/>
          <w:color w:val="000000"/>
          <w:lang w:val="uk-UA"/>
        </w:rPr>
        <w:t xml:space="preserve">Реєстратор добового моніторування електрокардіосигналів та артеріального тиску з програмним забезпеченням, </w:t>
      </w:r>
      <w:r>
        <w:rPr>
          <w:color w:val="000000"/>
          <w:lang w:val="uk-UA"/>
        </w:rPr>
        <w:t>Додатковий реєстратор добового моніторування електрокардіосигналів та артеріального тиску</w:t>
      </w:r>
    </w:p>
    <w:p>
      <w:pPr>
        <w:jc w:val="both"/>
        <w:rPr>
          <w:color w:val="000000"/>
          <w:lang w:val="uk-UA"/>
        </w:rPr>
      </w:pPr>
    </w:p>
    <w:tbl>
      <w:tblPr>
        <w:tblStyle w:val="65"/>
        <w:tblpPr w:leftFromText="180" w:rightFromText="180" w:vertAnchor="text" w:horzAnchor="page" w:tblpX="1191" w:tblpY="59"/>
        <w:tblOverlap w:val="never"/>
        <w:tblW w:w="101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107"/>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rHeight w:val="715" w:hRule="atLeast"/>
        </w:trPr>
        <w:tc>
          <w:tcPr>
            <w:tcW w:w="8107" w:type="dxa"/>
            <w:vAlign w:val="center"/>
          </w:tcPr>
          <w:p>
            <w:pPr>
              <w:tabs>
                <w:tab w:val="left" w:pos="6446"/>
              </w:tabs>
              <w:ind w:right="432"/>
              <w:jc w:val="center"/>
              <w:rPr>
                <w:b/>
              </w:rPr>
            </w:pPr>
            <w:r>
              <w:rPr>
                <w:b/>
              </w:rPr>
              <w:t>Найменування предмету закупівлі</w:t>
            </w:r>
          </w:p>
        </w:tc>
        <w:tc>
          <w:tcPr>
            <w:tcW w:w="2014" w:type="dxa"/>
            <w:vAlign w:val="center"/>
          </w:tcPr>
          <w:p>
            <w:pPr>
              <w:ind w:left="-108"/>
              <w:jc w:val="center"/>
              <w:rPr>
                <w:b/>
              </w:rPr>
            </w:pPr>
            <w:r>
              <w:rPr>
                <w:b/>
              </w:rPr>
              <w:t>Кількість, шт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rHeight w:val="274" w:hRule="atLeast"/>
        </w:trPr>
        <w:tc>
          <w:tcPr>
            <w:tcW w:w="8107" w:type="dxa"/>
          </w:tcPr>
          <w:p>
            <w:pPr>
              <w:ind w:right="-108"/>
              <w:rPr>
                <w:b/>
              </w:rPr>
            </w:pPr>
            <w:r>
              <w:rPr>
                <w:b/>
              </w:rPr>
              <w:t>Реєстратор добового моніторування електрокардіосигналів та артеріального тиску з програмним забезпеченням</w:t>
            </w:r>
          </w:p>
        </w:tc>
        <w:tc>
          <w:tcPr>
            <w:tcW w:w="2014" w:type="dxa"/>
            <w:vAlign w:val="center"/>
          </w:tcPr>
          <w:p>
            <w:pPr>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rHeight w:val="274" w:hRule="atLeast"/>
        </w:trPr>
        <w:tc>
          <w:tcPr>
            <w:tcW w:w="8107" w:type="dxa"/>
          </w:tcPr>
          <w:p>
            <w:pPr>
              <w:ind w:right="-108"/>
              <w:rPr>
                <w:b/>
              </w:rPr>
            </w:pPr>
            <w:r>
              <w:rPr>
                <w:b/>
              </w:rPr>
              <w:t>Додатковий реєстратор добового моніторування електрокардіосигналів та артеріального тиску</w:t>
            </w:r>
          </w:p>
        </w:tc>
        <w:tc>
          <w:tcPr>
            <w:tcW w:w="2014" w:type="dxa"/>
            <w:vAlign w:val="center"/>
          </w:tcPr>
          <w:p>
            <w:pPr>
              <w:jc w:val="center"/>
            </w:pPr>
            <w:r>
              <w:t>1</w:t>
            </w:r>
          </w:p>
        </w:tc>
      </w:tr>
    </w:tbl>
    <w:p>
      <w:pPr>
        <w:jc w:val="center"/>
        <w:rPr>
          <w:b/>
          <w:i/>
        </w:rPr>
      </w:pPr>
    </w:p>
    <w:p>
      <w:pPr>
        <w:jc w:val="center"/>
        <w:rPr>
          <w:b/>
          <w:i/>
        </w:rPr>
      </w:pPr>
      <w:r>
        <w:rPr>
          <w:b/>
          <w:i/>
        </w:rPr>
        <w:t>Медико-технічні вимоги до холтеровської системи з додатковим реєстратором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p>
    <w:p>
      <w:pPr>
        <w:jc w:val="both"/>
        <w:rPr>
          <w:color w:val="000000"/>
        </w:rPr>
      </w:pPr>
    </w:p>
    <w:tbl>
      <w:tblPr>
        <w:tblStyle w:val="67"/>
        <w:tblpPr w:leftFromText="180" w:rightFromText="180" w:vertAnchor="text" w:horzAnchor="page" w:tblpX="1140" w:tblpY="104"/>
        <w:tblOverlap w:val="never"/>
        <w:tblW w:w="10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955"/>
        <w:gridCol w:w="4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tabs>
                <w:tab w:val="left" w:pos="1125"/>
              </w:tabs>
              <w:jc w:val="center"/>
              <w:rPr>
                <w:b/>
              </w:rPr>
            </w:pPr>
            <w:r>
              <w:rPr>
                <w:b/>
                <w:sz w:val="22"/>
                <w:szCs w:val="22"/>
              </w:rPr>
              <w:t>Вимоги</w:t>
            </w:r>
          </w:p>
        </w:tc>
        <w:tc>
          <w:tcPr>
            <w:tcW w:w="4256" w:type="dxa"/>
            <w:tcBorders>
              <w:top w:val="single" w:color="000000" w:sz="4" w:space="0"/>
              <w:left w:val="single" w:color="000000" w:sz="4" w:space="0"/>
              <w:bottom w:val="single" w:color="000000" w:sz="4" w:space="0"/>
              <w:right w:val="single" w:color="000000" w:sz="4" w:space="0"/>
            </w:tcBorders>
          </w:tcPr>
          <w:p>
            <w:pPr>
              <w:jc w:val="center"/>
            </w:pPr>
            <w:r>
              <w:rPr>
                <w:b/>
                <w:sz w:val="22"/>
                <w:szCs w:val="22"/>
              </w:rPr>
              <w:t>Відповідність (вказати параметри, посилання на стор., вказати інструкцію)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Повинен мати програмне забезпечення російською та українською мовами (та бути адаптованим для систем Windows).</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rHeight w:val="29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Можливість імпорту та експорту записів зі збереженням анонімності даних пацієнта</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Повинен мати модуль Bluetooth для з’єднання з ПК</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Безперервний запис ЕКГ не менше 24, 48 годин.</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Наявність 3-х незалежних (біполярних) каналів ЕКГ</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Можливість вимірювання артеріального тиску по вказаному плану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rPr>
                <w:b/>
              </w:rPr>
            </w:pPr>
            <w:r>
              <w:rPr>
                <w:b/>
                <w:sz w:val="22"/>
                <w:szCs w:val="22"/>
              </w:rPr>
              <w:t>Дані, які повинні аналізуватися:</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ЕКГ за добу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Ручний аналіз імпульсів пейсмейкера</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Рівень сегменту ST</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Показники інтервалу QT</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ЧСС за добу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Таблиці, діаграми та статистика вимірювання артеріального тиску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Табличні показники АТ – середній, мінімальний, максимальний, індекси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Аналіз екстрасистол з розподіленням їх по шаблонах з веденням статистики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Аналіз варіабельності серцевого ритму згідно сучасних критеріїв: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часові та частотні характеристики HRV</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гістограми і таблиці HRV</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графіки RR</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rPr>
                <w:b/>
              </w:rPr>
            </w:pPr>
            <w:r>
              <w:rPr>
                <w:b/>
                <w:sz w:val="22"/>
                <w:szCs w:val="22"/>
              </w:rPr>
              <w:t>Дані, які повинні відображатися у автоматичному звіті:</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Динаміка ЧСС за добу у тому числі середні показники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Результати аналізу сегменту QT за добу у вигляді графіків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Таблиці та графіки аналізу варіабельності серцевого ритму (HRV)</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часові показники аналізу варіабельності серцевого ритму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частотні характеристики аналізу варіабельності серцевого ритму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Статистика вимірювання артеріального тиску:</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  у вигляді графіків, -  у вигляді табличних значень</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rPr>
                <w:b/>
              </w:rPr>
            </w:pPr>
            <w:r>
              <w:rPr>
                <w:b/>
                <w:sz w:val="22"/>
                <w:szCs w:val="22"/>
              </w:rPr>
              <w:t>Додаткові можливості:</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0"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Синхронізація відображення даних ЕКГ та АТ</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Програмування приладу за допомогою Bluetooth с ПК або приладом під керуванням ОС «Android»</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Перевірка  роботи накладених ЕКГ – електродів.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Наявність кнопки «Подія»</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Можливість формування електронної картки пацієнта (архівація звітів та первинних даних).</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Можливість змінювати та доповнювати типовій звіт про моніторування.</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t>Можливість збереження записів на хмарному сховищі</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t xml:space="preserve">Можливість надання записів сторонньому експерту для запиту консультації </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t>Можливість перегляду записів та звіту без спеціального програмного забезпечення за допомогою стандартного Internet Explorer</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0"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rPr>
                <w:b/>
              </w:rPr>
            </w:pPr>
            <w:r>
              <w:rPr>
                <w:b/>
                <w:sz w:val="22"/>
                <w:szCs w:val="22"/>
              </w:rPr>
              <w:t>Технічні характеристики: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Вага: не більше 120 г</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Розміри: не більше 92 x 51 x 24 мм.</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Живлення: 2 акумулятора типу ААА.</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pPr>
              <w:rPr>
                <w:i/>
              </w:rPr>
            </w:pPr>
            <w:r>
              <w:rPr>
                <w:b/>
                <w:i/>
                <w:sz w:val="22"/>
                <w:szCs w:val="22"/>
              </w:rPr>
              <w:t>ЕКГ параметри: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Кількість каналів реєстрації: 3</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Діапазон реєстрації вхідних напруг: від 0,03 до 5 мВ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Діапазон реєстрації ЧСС: від 30 до 240 уд/хв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Границі допустимої відносної похибки перетворення напруги ЕКС: +/-15% - у діапазоні від 0,1 до 0,5 мВ; +/-7% - у діапазоні понад 0,5 до 4 мВ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Границі допустимої відносної похибки перетворення інтервалів часу у діапазоні 0,1 до 1,0 с - +/-7%</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b/>
                <w:i/>
                <w:sz w:val="22"/>
                <w:szCs w:val="22"/>
              </w:rPr>
              <w:t>АТ параметри:</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Метод вимірювання артеріального тиску: осцилометричний на накачивании</w:t>
            </w:r>
          </w:p>
        </w:tc>
        <w:tc>
          <w:tcPr>
            <w:tcW w:w="4256" w:type="dxa"/>
            <w:tcBorders>
              <w:top w:val="single" w:color="000000" w:sz="4" w:space="0"/>
              <w:left w:val="single" w:color="000000" w:sz="4" w:space="0"/>
              <w:bottom w:val="single" w:color="000000" w:sz="4" w:space="0"/>
              <w:right w:val="single" w:color="000000" w:sz="4" w:space="0"/>
            </w:tcBorders>
          </w:tcPr>
          <w:p>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4"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Діапазон перетворення надлишкового тиску в манжеті:  20 - 280 мм рт.ст.</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3"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Діапазон перетворення ЧСС:  від 30 до 180 уд/хв</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Границі допустимої  абсолютної похибки перетворення надлишкового тиску в манжеті: +/- 3 мм рт. ст.</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Границі допустимої відносної похибки перетворення ЧСС: -+/-5%</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Швидкість накачування манжети під час вимірювання АТ, що автоматично підтримується: 4 мм рт. ст. / с</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5"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Повинен відповідати вимогам протоколу ESH</w:t>
            </w:r>
          </w:p>
        </w:tc>
        <w:tc>
          <w:tcPr>
            <w:tcW w:w="4256"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rHeight w:val="298" w:hRule="atLeast"/>
        </w:trPr>
        <w:tc>
          <w:tcPr>
            <w:tcW w:w="5955" w:type="dxa"/>
            <w:tcBorders>
              <w:top w:val="single" w:color="000000" w:sz="4" w:space="0"/>
              <w:left w:val="single" w:color="000000" w:sz="4" w:space="0"/>
              <w:bottom w:val="single" w:color="000000" w:sz="4" w:space="0"/>
              <w:right w:val="single" w:color="000000" w:sz="4" w:space="0"/>
            </w:tcBorders>
            <w:vAlign w:val="center"/>
          </w:tcPr>
          <w:p>
            <w:r>
              <w:rPr>
                <w:sz w:val="22"/>
                <w:szCs w:val="22"/>
              </w:rPr>
              <w:t>Гарантійний термін обслуговування не менше 12 місяців, з можливістю післягарантійного обслуговування</w:t>
            </w:r>
          </w:p>
        </w:tc>
        <w:tc>
          <w:tcPr>
            <w:tcW w:w="4256" w:type="dxa"/>
            <w:tcBorders>
              <w:top w:val="single" w:color="000000" w:sz="4" w:space="0"/>
              <w:left w:val="single" w:color="000000" w:sz="4" w:space="0"/>
              <w:bottom w:val="single" w:color="000000" w:sz="4" w:space="0"/>
              <w:right w:val="single" w:color="000000" w:sz="4" w:space="0"/>
            </w:tcBorders>
          </w:tcPr>
          <w:p/>
        </w:tc>
      </w:tr>
    </w:tbl>
    <w:p>
      <w:pPr>
        <w:jc w:val="both"/>
        <w:rPr>
          <w:color w:val="000000"/>
        </w:rPr>
      </w:pPr>
    </w:p>
    <w:p>
      <w:pPr>
        <w:numPr>
          <w:ilvl w:val="0"/>
          <w:numId w:val="1"/>
        </w:numPr>
        <w:tabs>
          <w:tab w:val="left" w:pos="851"/>
        </w:tabs>
        <w:ind w:left="0" w:right="-2" w:firstLine="567"/>
        <w:jc w:val="both"/>
      </w:pPr>
      <w: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widowControl w:val="0"/>
        <w:tabs>
          <w:tab w:val="left" w:pos="851"/>
        </w:tabs>
        <w:ind w:right="-2" w:firstLine="567"/>
        <w:jc w:val="both"/>
        <w:rPr>
          <w:color w:val="000000"/>
        </w:rPr>
      </w:pPr>
      <w:r>
        <w:rPr>
          <w:color w:val="000000"/>
        </w:rPr>
        <w:t xml:space="preserve">На підтвердження Учасник повинен надати:  </w:t>
      </w:r>
    </w:p>
    <w:p>
      <w:pPr>
        <w:widowControl w:val="0"/>
        <w:tabs>
          <w:tab w:val="left" w:pos="851"/>
        </w:tabs>
        <w:ind w:right="-2" w:firstLine="567"/>
        <w:jc w:val="both"/>
        <w:rPr>
          <w:color w:val="000000"/>
        </w:rPr>
      </w:pPr>
      <w:r>
        <w:rPr>
          <w:color w:val="000000"/>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Pr>
          <w:b/>
          <w:color w:val="000000"/>
        </w:rPr>
        <w:t>або</w:t>
      </w:r>
    </w:p>
    <w:p>
      <w:pPr>
        <w:widowControl w:val="0"/>
        <w:tabs>
          <w:tab w:val="left" w:pos="851"/>
        </w:tabs>
        <w:ind w:right="-2" w:firstLine="567"/>
        <w:jc w:val="both"/>
        <w:rPr>
          <w:color w:val="000000"/>
        </w:rPr>
      </w:pPr>
      <w:r>
        <w:rPr>
          <w:color w:val="000000"/>
        </w:rPr>
        <w:t xml:space="preserve">б) 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pPr>
        <w:widowControl w:val="0"/>
        <w:tabs>
          <w:tab w:val="left" w:pos="851"/>
        </w:tabs>
        <w:ind w:right="-2" w:firstLine="567"/>
        <w:jc w:val="both"/>
        <w:rPr>
          <w:color w:val="000000"/>
        </w:rPr>
      </w:pPr>
      <w:r>
        <w:rPr>
          <w:color w:val="000000"/>
        </w:rPr>
        <w:t xml:space="preserve">в) з урахуванням вимог постанов Кабінету Міністрів України від 02.10.2013. № 753 </w:t>
      </w:r>
      <w:r>
        <w:rPr>
          <w:color w:val="000000"/>
        </w:rPr>
        <w:br w:type="textWrapping"/>
      </w:r>
      <w:r>
        <w:rPr>
          <w:color w:val="000000"/>
        </w:rPr>
        <w:t xml:space="preserve">«Про затвердження Технічного регламенту щодо медичних виробів», від 02.10.2013 № 754 </w:t>
      </w:r>
      <w:r>
        <w:rPr>
          <w:color w:val="000000"/>
        </w:rPr>
        <w:br w:type="textWrapping"/>
      </w:r>
      <w:r>
        <w:rPr>
          <w:color w:val="000000"/>
        </w:rPr>
        <w:t xml:space="preserve">«Про затвердження Технічного регламенту щодо медичних виробів для діагностики invitro», </w:t>
      </w:r>
      <w:r>
        <w:rPr>
          <w:color w:val="000000"/>
        </w:rPr>
        <w:br w:type="textWrapping"/>
      </w:r>
      <w:r>
        <w:rPr>
          <w:color w:val="000000"/>
        </w:rP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pPr>
        <w:widowControl w:val="0"/>
        <w:tabs>
          <w:tab w:val="left" w:pos="851"/>
        </w:tabs>
        <w:ind w:right="-2" w:firstLine="567"/>
        <w:jc w:val="both"/>
        <w:rPr>
          <w:color w:val="000000"/>
        </w:rPr>
      </w:pPr>
      <w:r>
        <w:rPr>
          <w:color w:val="000000"/>
        </w:rPr>
        <w:t xml:space="preserve">г) у разі, якщо </w:t>
      </w:r>
      <w:r>
        <w:rPr>
          <w:color w:val="000000"/>
          <w:highlight w:val="white"/>
        </w:rPr>
        <w:t xml:space="preserve">дія Технічного регламенту щодо медичних виробів не поширюється на обладнання, що пропонується, Учасник повинен надати </w:t>
      </w:r>
      <w:r>
        <w:rPr>
          <w:b/>
          <w:color w:val="000000"/>
          <w:highlight w:val="white"/>
        </w:rPr>
        <w:t>письмове пояснення</w:t>
      </w:r>
      <w:r>
        <w:rPr>
          <w:color w:val="000000"/>
          <w:highlight w:val="white"/>
        </w:rPr>
        <w:t xml:space="preserve"> із зазначенням причин відсутності необхідності </w:t>
      </w:r>
      <w:r>
        <w:rPr>
          <w:color w:val="000000"/>
        </w:rPr>
        <w:t>проходженню процедури оцінки відповідності згідно вимог Технічного регламенту щодо медичних виробів.</w:t>
      </w:r>
    </w:p>
    <w:p>
      <w:pPr>
        <w:widowControl w:val="0"/>
        <w:numPr>
          <w:ilvl w:val="0"/>
          <w:numId w:val="1"/>
        </w:numPr>
        <w:tabs>
          <w:tab w:val="left" w:pos="426"/>
          <w:tab w:val="left" w:pos="851"/>
        </w:tabs>
        <w:ind w:left="0" w:right="-2" w:firstLine="567"/>
        <w:jc w:val="both"/>
        <w:rPr>
          <w:color w:val="000000"/>
        </w:rPr>
      </w:pPr>
      <w:r>
        <w:rPr>
          <w:color w:val="000000"/>
        </w:rPr>
        <w:t>Гарантійний термін (строк) експлуатації товару, запропонованого Учасником повинен становити не менше 12 місяців, з дня підписання акта введення в експлуатацію обладнання. Товар повинен бути новим та таким, що не був у використанні.</w:t>
      </w:r>
    </w:p>
    <w:p>
      <w:pPr>
        <w:widowControl w:val="0"/>
        <w:tabs>
          <w:tab w:val="left" w:pos="426"/>
          <w:tab w:val="left" w:pos="851"/>
        </w:tabs>
        <w:ind w:right="-2"/>
        <w:jc w:val="both"/>
        <w:rPr>
          <w:color w:val="000000"/>
        </w:rPr>
      </w:pPr>
      <w:r>
        <w:rPr>
          <w:color w:val="000000"/>
        </w:rPr>
        <w:tab/>
      </w:r>
      <w:r>
        <w:rPr>
          <w:color w:val="000000"/>
        </w:rPr>
        <w:tab/>
      </w:r>
      <w:r>
        <w:rPr>
          <w:color w:val="000000"/>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pPr>
        <w:widowControl w:val="0"/>
        <w:numPr>
          <w:ilvl w:val="0"/>
          <w:numId w:val="1"/>
        </w:numPr>
        <w:tabs>
          <w:tab w:val="left" w:pos="426"/>
          <w:tab w:val="left" w:pos="851"/>
        </w:tabs>
        <w:ind w:left="0" w:right="-2" w:firstLine="567"/>
        <w:jc w:val="both"/>
        <w:rPr>
          <w:color w:val="000000"/>
        </w:rPr>
      </w:pPr>
      <w:r>
        <w:rPr>
          <w:color w:val="000000"/>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pPr>
        <w:keepNext/>
        <w:widowControl w:val="0"/>
        <w:tabs>
          <w:tab w:val="left" w:pos="851"/>
        </w:tabs>
        <w:ind w:right="-2" w:firstLine="567"/>
        <w:jc w:val="both"/>
        <w:rPr>
          <w:color w:val="000000"/>
        </w:rPr>
      </w:pPr>
      <w:r>
        <w:rPr>
          <w:color w:val="000000"/>
        </w:rPr>
        <w:t>На підтвердження Учасник повинен надати оригінал або 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pPr>
        <w:spacing w:after="160" w:line="259" w:lineRule="auto"/>
        <w:jc w:val="both"/>
        <w:rPr>
          <w:lang w:val="uk-UA"/>
        </w:rPr>
      </w:pPr>
    </w:p>
    <w:p>
      <w:pPr>
        <w:spacing w:after="160" w:line="259" w:lineRule="auto"/>
        <w:ind w:firstLine="709"/>
        <w:jc w:val="center"/>
        <w:rPr>
          <w:b/>
          <w:lang w:val="uk-UA"/>
        </w:rPr>
      </w:pPr>
      <w:r>
        <w:rPr>
          <w:b/>
          <w:lang w:val="uk-UA"/>
        </w:rPr>
        <w:t>Таблиця відповідності запропонованого учасником Товару предмету закупівлі  вимогам і характеристикам, що вимагаються замовником</w:t>
      </w:r>
    </w:p>
    <w:tbl>
      <w:tblPr>
        <w:tblStyle w:val="64"/>
        <w:tblW w:w="10348" w:type="dxa"/>
        <w:tblInd w:w="139" w:type="dxa"/>
        <w:tblLayout w:type="autofit"/>
        <w:tblCellMar>
          <w:top w:w="29" w:type="dxa"/>
          <w:left w:w="131" w:type="dxa"/>
          <w:bottom w:w="0" w:type="dxa"/>
          <w:right w:w="109" w:type="dxa"/>
        </w:tblCellMar>
      </w:tblPr>
      <w:tblGrid>
        <w:gridCol w:w="477"/>
        <w:gridCol w:w="2216"/>
        <w:gridCol w:w="2127"/>
        <w:gridCol w:w="2409"/>
        <w:gridCol w:w="3119"/>
      </w:tblGrid>
      <w:tr>
        <w:tblPrEx>
          <w:tblCellMar>
            <w:top w:w="29" w:type="dxa"/>
            <w:left w:w="131" w:type="dxa"/>
            <w:bottom w:w="0" w:type="dxa"/>
            <w:right w:w="109" w:type="dxa"/>
          </w:tblCellMar>
        </w:tblPrEx>
        <w:trPr>
          <w:trHeight w:val="1449" w:hRule="atLeast"/>
        </w:trPr>
        <w:tc>
          <w:tcPr>
            <w:tcW w:w="477" w:type="dxa"/>
            <w:tcBorders>
              <w:top w:val="single" w:color="000000" w:sz="2" w:space="0"/>
              <w:left w:val="single" w:color="000000" w:sz="2" w:space="0"/>
              <w:bottom w:val="single" w:color="000000" w:sz="2" w:space="0"/>
              <w:right w:val="single" w:color="000000" w:sz="2" w:space="0"/>
            </w:tcBorders>
          </w:tcPr>
          <w:p>
            <w:pPr>
              <w:spacing w:after="160" w:line="259" w:lineRule="auto"/>
              <w:rPr>
                <w:rFonts w:hint="default" w:ascii="Times New Roman" w:hAnsi="Times New Roman" w:cs="Times New Roman" w:eastAsiaTheme="minorEastAsia"/>
                <w:lang w:val="uk-UA"/>
              </w:rPr>
            </w:pPr>
          </w:p>
        </w:tc>
        <w:tc>
          <w:tcPr>
            <w:tcW w:w="2216" w:type="dxa"/>
            <w:tcBorders>
              <w:top w:val="single" w:color="000000" w:sz="2" w:space="0"/>
              <w:left w:val="single" w:color="000000" w:sz="2" w:space="0"/>
              <w:bottom w:val="single" w:color="000000" w:sz="2" w:space="0"/>
              <w:right w:val="single" w:color="000000" w:sz="2" w:space="0"/>
            </w:tcBorders>
          </w:tcPr>
          <w:p>
            <w:pPr>
              <w:spacing w:line="259" w:lineRule="auto"/>
              <w:ind w:right="16"/>
              <w:jc w:val="center"/>
              <w:rPr>
                <w:rFonts w:hint="default" w:ascii="Times New Roman" w:hAnsi="Times New Roman" w:cs="Times New Roman" w:eastAsiaTheme="minorEastAsia"/>
                <w:lang w:val="uk-UA"/>
              </w:rPr>
            </w:pPr>
            <w:r>
              <w:rPr>
                <w:rFonts w:hint="default" w:ascii="Times New Roman" w:hAnsi="Times New Roman" w:cs="Times New Roman" w:eastAsiaTheme="minorEastAsia"/>
                <w:lang w:val="uk-UA"/>
              </w:rPr>
              <w:t xml:space="preserve">Опис та  характеристики, що вимагаються замовником </w:t>
            </w:r>
          </w:p>
        </w:tc>
        <w:tc>
          <w:tcPr>
            <w:tcW w:w="2127" w:type="dxa"/>
            <w:tcBorders>
              <w:top w:val="single" w:color="000000" w:sz="2" w:space="0"/>
              <w:left w:val="single" w:color="000000" w:sz="2" w:space="0"/>
              <w:bottom w:val="single" w:color="000000" w:sz="2" w:space="0"/>
              <w:right w:val="single" w:color="000000" w:sz="2" w:space="0"/>
            </w:tcBorders>
          </w:tcPr>
          <w:p>
            <w:pPr>
              <w:spacing w:line="259" w:lineRule="auto"/>
              <w:ind w:right="38"/>
              <w:jc w:val="center"/>
              <w:rPr>
                <w:rFonts w:hint="default" w:ascii="Times New Roman" w:hAnsi="Times New Roman" w:cs="Times New Roman" w:eastAsiaTheme="minorEastAsia"/>
                <w:lang w:val="uk-UA"/>
              </w:rPr>
            </w:pPr>
            <w:r>
              <w:rPr>
                <w:rFonts w:hint="default" w:ascii="Times New Roman" w:hAnsi="Times New Roman" w:cs="Times New Roman" w:eastAsiaTheme="minorEastAsia"/>
                <w:lang w:val="uk-UA"/>
              </w:rPr>
              <w:t xml:space="preserve">Опис та  характеристики, що пропонуються учасником </w:t>
            </w:r>
          </w:p>
        </w:tc>
        <w:tc>
          <w:tcPr>
            <w:tcW w:w="2409" w:type="dxa"/>
            <w:tcBorders>
              <w:top w:val="single" w:color="000000" w:sz="2" w:space="0"/>
              <w:left w:val="single" w:color="000000" w:sz="2" w:space="0"/>
              <w:bottom w:val="single" w:color="000000" w:sz="2" w:space="0"/>
              <w:right w:val="single" w:color="000000" w:sz="2" w:space="0"/>
            </w:tcBorders>
          </w:tcPr>
          <w:p>
            <w:pPr>
              <w:spacing w:line="259" w:lineRule="auto"/>
              <w:ind w:left="86" w:hanging="14"/>
              <w:jc w:val="center"/>
              <w:rPr>
                <w:rFonts w:hint="default" w:ascii="Times New Roman" w:hAnsi="Times New Roman" w:cs="Times New Roman" w:eastAsiaTheme="minorEastAsia"/>
                <w:lang w:val="uk-UA"/>
              </w:rPr>
            </w:pPr>
            <w:r>
              <w:rPr>
                <w:rFonts w:hint="default" w:ascii="Times New Roman" w:hAnsi="Times New Roman" w:cs="Times New Roman" w:eastAsiaTheme="minorEastAsia"/>
                <w:lang w:val="uk-UA"/>
              </w:rPr>
              <w:t>Назва виробника запропонованого товару, торгівельна марка, країна походження</w:t>
            </w:r>
          </w:p>
        </w:tc>
        <w:tc>
          <w:tcPr>
            <w:tcW w:w="3119" w:type="dxa"/>
            <w:tcBorders>
              <w:top w:val="single" w:color="000000" w:sz="2" w:space="0"/>
              <w:left w:val="single" w:color="000000" w:sz="2" w:space="0"/>
              <w:bottom w:val="single" w:color="000000" w:sz="2" w:space="0"/>
              <w:right w:val="single" w:color="000000" w:sz="2" w:space="0"/>
            </w:tcBorders>
          </w:tcPr>
          <w:p>
            <w:pPr>
              <w:spacing w:line="259" w:lineRule="auto"/>
              <w:ind w:right="19"/>
              <w:jc w:val="center"/>
              <w:rPr>
                <w:rFonts w:hint="default" w:ascii="Times New Roman" w:hAnsi="Times New Roman" w:cs="Times New Roman" w:eastAsiaTheme="minorEastAsia"/>
                <w:lang w:val="uk-UA"/>
              </w:rPr>
            </w:pPr>
            <w:r>
              <w:rPr>
                <w:rFonts w:hint="default" w:ascii="Times New Roman" w:hAnsi="Times New Roman" w:cs="Times New Roman" w:eastAsiaTheme="minorEastAsia"/>
                <w:lang w:val="uk-UA"/>
              </w:rPr>
              <w:t>Відповідність якісним характеристикам запропонованого предмету закупівлі вимогам замовнику (Так/Ні).</w:t>
            </w:r>
          </w:p>
        </w:tc>
      </w:tr>
      <w:tr>
        <w:tblPrEx>
          <w:tblCellMar>
            <w:top w:w="29" w:type="dxa"/>
            <w:left w:w="131" w:type="dxa"/>
            <w:bottom w:w="0" w:type="dxa"/>
            <w:right w:w="109" w:type="dxa"/>
          </w:tblCellMar>
        </w:tblPrEx>
        <w:trPr>
          <w:trHeight w:val="286" w:hRule="atLeast"/>
        </w:trPr>
        <w:tc>
          <w:tcPr>
            <w:tcW w:w="477" w:type="dxa"/>
            <w:tcBorders>
              <w:top w:val="single" w:color="000000" w:sz="2" w:space="0"/>
              <w:left w:val="single" w:color="000000" w:sz="2" w:space="0"/>
              <w:bottom w:val="single" w:color="000000" w:sz="2" w:space="0"/>
              <w:right w:val="single" w:color="000000" w:sz="2" w:space="0"/>
            </w:tcBorders>
          </w:tcPr>
          <w:p>
            <w:pPr>
              <w:spacing w:line="259" w:lineRule="auto"/>
              <w:ind w:right="42"/>
              <w:jc w:val="center"/>
              <w:rPr>
                <w:rFonts w:hint="default" w:ascii="Times New Roman" w:hAnsi="Times New Roman" w:cs="Times New Roman" w:eastAsiaTheme="minorEastAsia"/>
                <w:lang w:val="uk-UA"/>
              </w:rPr>
            </w:pPr>
            <w:r>
              <w:rPr>
                <w:rFonts w:hint="default" w:ascii="Times New Roman" w:hAnsi="Times New Roman" w:cs="Times New Roman" w:eastAsiaTheme="minorEastAsia"/>
                <w:lang w:val="uk-UA"/>
              </w:rPr>
              <w:t>1.</w:t>
            </w:r>
          </w:p>
        </w:tc>
        <w:tc>
          <w:tcPr>
            <w:tcW w:w="2216" w:type="dxa"/>
            <w:tcBorders>
              <w:top w:val="single" w:color="000000" w:sz="2" w:space="0"/>
              <w:left w:val="single" w:color="000000" w:sz="2" w:space="0"/>
              <w:bottom w:val="single" w:color="000000" w:sz="2" w:space="0"/>
              <w:right w:val="single" w:color="000000" w:sz="2" w:space="0"/>
            </w:tcBorders>
          </w:tcPr>
          <w:p>
            <w:pPr>
              <w:spacing w:after="160" w:line="259" w:lineRule="auto"/>
              <w:rPr>
                <w:rFonts w:hint="default" w:ascii="Times New Roman" w:hAnsi="Times New Roman" w:cs="Times New Roman" w:eastAsiaTheme="minorEastAsia"/>
                <w:lang w:val="uk-UA"/>
              </w:rPr>
            </w:pPr>
          </w:p>
        </w:tc>
        <w:tc>
          <w:tcPr>
            <w:tcW w:w="2127" w:type="dxa"/>
            <w:tcBorders>
              <w:top w:val="single" w:color="000000" w:sz="2" w:space="0"/>
              <w:left w:val="single" w:color="000000" w:sz="2" w:space="0"/>
              <w:bottom w:val="single" w:color="000000" w:sz="2" w:space="0"/>
              <w:right w:val="single" w:color="000000" w:sz="2" w:space="0"/>
            </w:tcBorders>
          </w:tcPr>
          <w:p>
            <w:pPr>
              <w:spacing w:after="160" w:line="259" w:lineRule="auto"/>
              <w:rPr>
                <w:rFonts w:hint="default" w:ascii="Times New Roman" w:hAnsi="Times New Roman" w:cs="Times New Roman" w:eastAsiaTheme="minorEastAsia"/>
                <w:lang w:val="uk-UA"/>
              </w:rPr>
            </w:pPr>
          </w:p>
        </w:tc>
        <w:tc>
          <w:tcPr>
            <w:tcW w:w="2409" w:type="dxa"/>
            <w:tcBorders>
              <w:top w:val="single" w:color="000000" w:sz="2" w:space="0"/>
              <w:left w:val="single" w:color="000000" w:sz="2" w:space="0"/>
              <w:bottom w:val="single" w:color="000000" w:sz="2" w:space="0"/>
              <w:right w:val="single" w:color="000000" w:sz="2" w:space="0"/>
            </w:tcBorders>
          </w:tcPr>
          <w:p>
            <w:pPr>
              <w:spacing w:after="160" w:line="259" w:lineRule="auto"/>
              <w:rPr>
                <w:rFonts w:hint="default" w:ascii="Times New Roman" w:hAnsi="Times New Roman" w:cs="Times New Roman" w:eastAsiaTheme="minorEastAsia"/>
                <w:lang w:val="uk-UA"/>
              </w:rPr>
            </w:pPr>
          </w:p>
        </w:tc>
        <w:tc>
          <w:tcPr>
            <w:tcW w:w="3119" w:type="dxa"/>
            <w:tcBorders>
              <w:top w:val="single" w:color="000000" w:sz="2" w:space="0"/>
              <w:left w:val="single" w:color="000000" w:sz="2" w:space="0"/>
              <w:bottom w:val="single" w:color="000000" w:sz="2" w:space="0"/>
              <w:right w:val="single" w:color="000000" w:sz="2" w:space="0"/>
            </w:tcBorders>
          </w:tcPr>
          <w:p>
            <w:pPr>
              <w:spacing w:after="160" w:line="259" w:lineRule="auto"/>
              <w:rPr>
                <w:rFonts w:hint="default" w:ascii="Times New Roman" w:hAnsi="Times New Roman" w:cs="Times New Roman" w:eastAsiaTheme="minorEastAsia"/>
                <w:lang w:val="uk-UA"/>
              </w:rPr>
            </w:pPr>
          </w:p>
        </w:tc>
      </w:tr>
    </w:tbl>
    <w:p>
      <w:pPr>
        <w:spacing w:line="360" w:lineRule="auto"/>
        <w:ind w:firstLine="720"/>
        <w:jc w:val="center"/>
        <w:rPr>
          <w:b/>
        </w:rPr>
      </w:pPr>
    </w:p>
    <w:p>
      <w:pPr>
        <w:spacing w:line="360" w:lineRule="auto"/>
        <w:ind w:firstLine="720"/>
        <w:jc w:val="center"/>
        <w:rPr>
          <w:b/>
        </w:rPr>
      </w:pPr>
      <w:r>
        <w:rPr>
          <w:b/>
        </w:rPr>
        <w:t>Документи, що підтверджують технічні, якісні та кількісні характеристики товару:</w:t>
      </w:r>
    </w:p>
    <w:p>
      <w:pPr>
        <w:spacing w:line="100" w:lineRule="atLeast"/>
        <w:ind w:firstLine="709"/>
        <w:jc w:val="both"/>
      </w:pPr>
      <w:r>
        <w:t>- Засвідчена підписом уповноваженої особи учасника та скріплен</w:t>
      </w:r>
      <w:r>
        <w:rPr>
          <w:lang w:val="uk-UA"/>
        </w:rPr>
        <w:t>а</w:t>
      </w:r>
      <w:r>
        <w:t xml:space="preserve"> печаткою</w:t>
      </w:r>
      <w:r>
        <w:rPr>
          <w:lang w:val="uk-UA"/>
        </w:rPr>
        <w:t xml:space="preserve"> (у разі наявності)</w:t>
      </w:r>
      <w:r>
        <w:t xml:space="preserve"> учасника копі</w:t>
      </w:r>
      <w:r>
        <w:rPr>
          <w:lang w:val="uk-UA"/>
        </w:rPr>
        <w:t>я</w:t>
      </w:r>
      <w:r>
        <w:t xml:space="preserve"> </w:t>
      </w:r>
      <w:r>
        <w:rPr>
          <w:spacing w:val="-1"/>
        </w:rPr>
        <w:t xml:space="preserve">паспорту якості або сертифікату якості , який виданий на </w:t>
      </w:r>
      <w:r>
        <w:rPr>
          <w:spacing w:val="-1"/>
          <w:lang w:val="uk-UA"/>
        </w:rPr>
        <w:t>товар</w:t>
      </w:r>
      <w:r>
        <w:t>, із зазначенням усіх технічних показників;</w:t>
      </w:r>
    </w:p>
    <w:p>
      <w:pPr>
        <w:ind w:right="140" w:firstLine="708"/>
        <w:jc w:val="both"/>
        <w:rPr>
          <w:bCs/>
        </w:rPr>
      </w:pPr>
      <w:r>
        <w:rPr>
          <w:bCs/>
          <w:lang w:val="uk-UA"/>
        </w:rPr>
        <w:t xml:space="preserve">- </w:t>
      </w:r>
      <w:r>
        <w:rPr>
          <w:bCs/>
        </w:rPr>
        <w:t xml:space="preserve">Товар постачається в тарі та в упаковці, які забезпечують збереження якості товару під час транспортування. </w:t>
      </w:r>
    </w:p>
    <w:p>
      <w:pPr>
        <w:ind w:right="140" w:firstLine="708"/>
        <w:jc w:val="both"/>
        <w:rPr>
          <w:bCs/>
        </w:rPr>
      </w:pPr>
      <w:r>
        <w:rPr>
          <w:bCs/>
          <w:lang w:val="uk-UA"/>
        </w:rPr>
        <w:t xml:space="preserve">- </w:t>
      </w:r>
      <w:r>
        <w:rPr>
          <w:bCs/>
        </w:rPr>
        <w:t xml:space="preserve">До медичної установи разом з кожною партією товару повинна надаватися супровідна первинна документація (накладна, вимога-замовлення, сертифікат </w:t>
      </w:r>
      <w:r>
        <w:rPr>
          <w:bCs/>
          <w:lang w:val="uk-UA"/>
        </w:rPr>
        <w:t>відповідності та декларація відповідності</w:t>
      </w:r>
      <w:r>
        <w:rPr>
          <w:bCs/>
        </w:rPr>
        <w:t>).</w:t>
      </w:r>
    </w:p>
    <w:p>
      <w:pPr>
        <w:ind w:right="140" w:firstLine="708"/>
        <w:jc w:val="both"/>
        <w:rPr>
          <w:bCs/>
          <w:lang w:val="uk-UA"/>
        </w:rPr>
      </w:pPr>
      <w:r>
        <w:rPr>
          <w:bCs/>
          <w:lang w:val="uk-UA"/>
        </w:rPr>
        <w:t xml:space="preserve">- Учасник повинен подати тендерну пропозицію за предметом закупівлі в цілому. </w:t>
      </w:r>
    </w:p>
    <w:p>
      <w:pPr>
        <w:ind w:firstLine="709"/>
        <w:jc w:val="both"/>
        <w:rPr>
          <w:lang w:val="uk-UA"/>
        </w:rPr>
      </w:pPr>
      <w:r>
        <w:rPr>
          <w:lang w:val="uk-UA"/>
        </w:rPr>
        <w:t>- Якість товару повинна відповідати вимогам, встановленим загальнообов’язковими нормами і правилами, які діють на території України та підтверджуються декларацією виробника.</w:t>
      </w:r>
    </w:p>
    <w:p>
      <w:pPr>
        <w:ind w:firstLine="709"/>
        <w:jc w:val="both"/>
      </w:pPr>
      <w:r>
        <w:rPr>
          <w:lang w:val="uk-UA"/>
        </w:rPr>
        <w:t xml:space="preserve">- </w:t>
      </w:r>
      <w:r>
        <w:t>Копії документів мають бути засвідчені</w:t>
      </w:r>
      <w:r>
        <w:rPr>
          <w:rFonts w:hint="default"/>
          <w:lang w:val="uk-UA"/>
        </w:rPr>
        <w:t xml:space="preserve"> </w:t>
      </w:r>
      <w:r>
        <w:t>печаткою учасника, підписом уповноваженої особи та мати надпис «згідно з оригіналом».</w:t>
      </w:r>
    </w:p>
    <w:p>
      <w:pPr>
        <w:ind w:firstLine="709"/>
        <w:jc w:val="both"/>
        <w:rPr>
          <w:lang w:val="uk-UA"/>
        </w:rPr>
      </w:pPr>
      <w:r>
        <w:rPr>
          <w:lang w:val="uk-UA"/>
        </w:rPr>
        <w:t xml:space="preserve">- </w:t>
      </w:r>
      <w:r>
        <w:t>У разі виявлення неякісного товару або такого, що не відповідає умовам договору, Постачальник повинен замінити неякісний товар протягом однієї доби з моменту виявлення неякісного товару, без будь-якої додаткової оплати з боку Покупця.</w:t>
      </w:r>
    </w:p>
    <w:p>
      <w:pPr>
        <w:jc w:val="both"/>
        <w:outlineLvl w:val="0"/>
        <w:rPr>
          <w:lang w:val="uk-UA"/>
        </w:rPr>
      </w:pPr>
    </w:p>
    <w:p>
      <w:pPr>
        <w:tabs>
          <w:tab w:val="left" w:pos="8385"/>
        </w:tabs>
        <w:jc w:val="both"/>
        <w:outlineLvl w:val="0"/>
        <w:rPr>
          <w:lang w:val="uk-UA"/>
        </w:rPr>
      </w:pPr>
      <w:r>
        <w:rPr>
          <w:lang w:val="uk-UA"/>
        </w:rPr>
        <w:tab/>
      </w:r>
    </w:p>
    <w:p>
      <w:pPr>
        <w:jc w:val="both"/>
      </w:pPr>
      <w:r>
        <w:rPr>
          <w:b/>
        </w:rPr>
        <w:t>Примітка</w:t>
      </w:r>
      <w:r>
        <w:t>:</w:t>
      </w:r>
    </w:p>
    <w:p>
      <w:pPr>
        <w:jc w:val="both"/>
        <w:rPr>
          <w:b/>
          <w:i/>
        </w:rPr>
      </w:pPr>
      <w:r>
        <w:rPr>
          <w:b/>
          <w:i/>
        </w:rPr>
        <w:t>Поставка товару здійснюється транспортом за рахунок Постачальника.</w:t>
      </w:r>
    </w:p>
    <w:p>
      <w:pPr>
        <w:shd w:val="clear" w:color="auto" w:fill="FFFFFF"/>
        <w:jc w:val="both"/>
        <w:rPr>
          <w:b/>
          <w:i/>
        </w:rPr>
      </w:pPr>
      <w:r>
        <w:rPr>
          <w:b/>
          <w:i/>
        </w:rPr>
        <w:t>Розвантаження товару здійснюється за рахунок та силами Постачальника за адресою</w:t>
      </w:r>
    </w:p>
    <w:p>
      <w:pPr>
        <w:shd w:val="clear" w:color="auto" w:fill="FFFFFF"/>
        <w:jc w:val="both"/>
        <w:rPr>
          <w:b/>
          <w:i/>
        </w:rPr>
      </w:pPr>
      <w:r>
        <w:rPr>
          <w:b/>
          <w:i/>
        </w:rPr>
        <w:t>Замовника: м. Запоріжжя, вул. Чумаченка, 21а.</w:t>
      </w:r>
    </w:p>
    <w:p>
      <w:pPr>
        <w:tabs>
          <w:tab w:val="left" w:pos="0"/>
        </w:tabs>
        <w:suppressAutoHyphens/>
        <w:jc w:val="both"/>
        <w:rPr>
          <w:lang w:eastAsia="ar-SA"/>
        </w:rPr>
      </w:pPr>
    </w:p>
    <w:p>
      <w:pPr>
        <w:contextualSpacing/>
        <w:jc w:val="both"/>
        <w:rPr>
          <w:b/>
          <w:lang w:val="uk-UA"/>
        </w:rPr>
      </w:pPr>
      <w:r>
        <w:rPr>
          <w:b/>
          <w:lang w:val="uk-UA"/>
        </w:rPr>
        <w:t xml:space="preserve">Керівник організації – учасник </w:t>
      </w:r>
    </w:p>
    <w:p>
      <w:pPr>
        <w:contextualSpacing/>
        <w:jc w:val="both"/>
        <w:rPr>
          <w:b/>
          <w:lang w:val="uk-UA"/>
        </w:rPr>
      </w:pPr>
      <w:r>
        <w:rPr>
          <w:b/>
          <w:lang w:val="uk-UA"/>
        </w:rPr>
        <w:t>процедури закупівлі або                          __________________________/  ____________________</w:t>
      </w:r>
    </w:p>
    <w:p>
      <w:pPr>
        <w:contextualSpacing/>
        <w:jc w:val="both"/>
        <w:rPr>
          <w:i/>
          <w:lang w:val="uk-UA"/>
        </w:rPr>
      </w:pPr>
      <w:r>
        <w:rPr>
          <w:b/>
          <w:lang w:val="uk-UA"/>
        </w:rPr>
        <w:t>інша уповноважена посадова особа</w:t>
      </w:r>
      <w:r>
        <w:rPr>
          <w:lang w:val="uk-UA"/>
        </w:rPr>
        <w:t xml:space="preserve">       (</w:t>
      </w:r>
      <w:r>
        <w:rPr>
          <w:i/>
          <w:lang w:val="uk-UA"/>
        </w:rPr>
        <w:t>підпис)    МП (за наявності)  (ініціали та прізвище)</w:t>
      </w:r>
    </w:p>
    <w:p>
      <w:pPr>
        <w:contextualSpacing/>
        <w:jc w:val="both"/>
        <w:rPr>
          <w:i/>
          <w:sz w:val="20"/>
          <w:szCs w:val="20"/>
          <w:lang w:val="uk-UA"/>
        </w:rPr>
      </w:pPr>
      <w:r>
        <w:rPr>
          <w:i/>
          <w:sz w:val="20"/>
          <w:szCs w:val="20"/>
          <w:lang w:val="uk-UA"/>
        </w:rPr>
        <w:t xml:space="preserve">Примітки: </w:t>
      </w:r>
    </w:p>
    <w:p>
      <w:pPr>
        <w:contextualSpacing/>
        <w:jc w:val="both"/>
        <w:rPr>
          <w:i/>
          <w:sz w:val="20"/>
          <w:szCs w:val="20"/>
          <w:lang w:val="uk-UA"/>
        </w:rPr>
      </w:pPr>
      <w:r>
        <w:rPr>
          <w:i/>
          <w:sz w:val="20"/>
          <w:szCs w:val="20"/>
          <w:lang w:val="uk-UA"/>
        </w:rPr>
        <w:tab/>
      </w:r>
      <w:r>
        <w:rPr>
          <w:i/>
          <w:sz w:val="20"/>
          <w:szCs w:val="20"/>
          <w:lang w:val="uk-UA"/>
        </w:rPr>
        <w:t>Вимога щодо наявності печатки (на всіх документах у складі пропозиції) не стосується учасників, які здійснюють діяльність без печатки згідно з чинним законодавством, а також учасників, які підпадають під дію Закону</w:t>
      </w:r>
      <w:r>
        <w:rPr>
          <w:i/>
          <w:color w:val="222222"/>
          <w:sz w:val="20"/>
          <w:szCs w:val="20"/>
          <w:shd w:val="clear" w:color="auto" w:fill="FFFFFF"/>
        </w:rPr>
        <w:t> </w:t>
      </w:r>
      <w:r>
        <w:rPr>
          <w:i/>
          <w:sz w:val="20"/>
          <w:szCs w:val="20"/>
          <w:shd w:val="clear" w:color="auto" w:fill="FFFFFF"/>
          <w:lang w:val="uk-UA"/>
        </w:rPr>
        <w:t>№</w:t>
      </w:r>
      <w:r>
        <w:fldChar w:fldCharType="begin"/>
      </w:r>
      <w:r>
        <w:instrText xml:space="preserve"> HYPERLINK "http://w1.c1.rada.gov.ua/pls/zweb2/webproc4_1?pf3511=58365" \t "_blank" </w:instrText>
      </w:r>
      <w:r>
        <w:fldChar w:fldCharType="separate"/>
      </w:r>
      <w:r>
        <w:rPr>
          <w:rStyle w:val="9"/>
          <w:i/>
          <w:sz w:val="20"/>
          <w:szCs w:val="20"/>
          <w:shd w:val="clear" w:color="auto" w:fill="FFFFFF"/>
          <w:lang w:val="uk-UA"/>
        </w:rPr>
        <w:t xml:space="preserve">1982 </w:t>
      </w:r>
      <w:r>
        <w:rPr>
          <w:rStyle w:val="9"/>
          <w:i/>
          <w:sz w:val="20"/>
          <w:szCs w:val="20"/>
          <w:shd w:val="clear" w:color="auto" w:fill="FFFFFF"/>
        </w:rPr>
        <w:t>VIII</w:t>
      </w:r>
      <w:r>
        <w:rPr>
          <w:rStyle w:val="9"/>
          <w:i/>
          <w:sz w:val="20"/>
          <w:szCs w:val="20"/>
          <w:shd w:val="clear" w:color="auto" w:fill="FFFFFF"/>
        </w:rPr>
        <w:fldChar w:fldCharType="end"/>
      </w:r>
      <w:r>
        <w:rPr>
          <w:i/>
          <w:sz w:val="20"/>
          <w:szCs w:val="20"/>
          <w:shd w:val="clear" w:color="auto" w:fill="FFFFFF"/>
        </w:rPr>
        <w:t> </w:t>
      </w:r>
      <w:r>
        <w:rPr>
          <w:i/>
          <w:sz w:val="20"/>
          <w:szCs w:val="20"/>
          <w:shd w:val="clear" w:color="auto" w:fill="FFFFFF"/>
          <w:lang w:val="uk-UA"/>
        </w:rPr>
        <w:t xml:space="preserve"> від 23.03.2017р. "Про внесення змін до деяких законодавчих актів України щодо використання печаток юридичними особами та фізичними особами-підприємцями"</w:t>
      </w:r>
      <w:r>
        <w:rPr>
          <w:i/>
          <w:sz w:val="20"/>
          <w:szCs w:val="20"/>
          <w:lang w:val="uk-UA"/>
        </w:rPr>
        <w:t>.</w:t>
      </w:r>
    </w:p>
    <w:p>
      <w:pPr>
        <w:ind w:left="14" w:firstLine="695"/>
        <w:jc w:val="both"/>
        <w:rPr>
          <w:i/>
          <w:sz w:val="20"/>
          <w:szCs w:val="20"/>
          <w:lang w:val="uk-UA"/>
        </w:rPr>
      </w:pPr>
      <w:r>
        <w:rPr>
          <w:i/>
          <w:sz w:val="20"/>
          <w:szCs w:val="20"/>
          <w:lang w:val="uk-UA"/>
        </w:rPr>
        <w:t>Будь які посилання у  вимогах і характеристиках на конкретну торгівельну марку або тип, передбачає надання еквіваленту.</w:t>
      </w:r>
    </w:p>
    <w:p>
      <w:pPr>
        <w:spacing w:after="5" w:line="255" w:lineRule="auto"/>
        <w:ind w:left="-1" w:right="38" w:firstLine="749"/>
        <w:jc w:val="both"/>
        <w:rPr>
          <w:i/>
          <w:sz w:val="20"/>
          <w:szCs w:val="20"/>
          <w:lang w:val="uk-UA"/>
        </w:rPr>
      </w:pPr>
      <w:r>
        <w:rPr>
          <w:i/>
          <w:sz w:val="20"/>
          <w:szCs w:val="20"/>
          <w:lang w:val="uk-UA"/>
        </w:rPr>
        <w:t>У разі надання еквіваленту, учасник в пропозиції повинен зазначити найменування та характеристики запропонованого еквіваленту. Запропонований учасником еквівалент, за своїми характеристиками, повинен бути не гіршим ніж у вимогах замовника.</w:t>
      </w:r>
    </w:p>
    <w:p>
      <w:pPr>
        <w:contextualSpacing/>
        <w:jc w:val="both"/>
        <w:rPr>
          <w:i/>
          <w:sz w:val="20"/>
          <w:szCs w:val="20"/>
          <w:lang w:val="uk-UA"/>
        </w:rPr>
      </w:pPr>
    </w:p>
    <w:sectPr>
      <w:footerReference r:id="rId3" w:type="default"/>
      <w:pgSz w:w="11906" w:h="16838"/>
      <w:pgMar w:top="283" w:right="289" w:bottom="289" w:left="1020" w:header="709" w:footer="709" w:gutter="0"/>
      <w:cols w:space="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Segoe UI">
    <w:panose1 w:val="020B0502040204020203"/>
    <w:charset w:val="CC"/>
    <w:family w:val="swiss"/>
    <w:pitch w:val="default"/>
    <w:sig w:usb0="E4002EFF" w:usb1="C000E47F"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2228562"/>
    </w:sdtPr>
    <w:sdtContent>
      <w:p>
        <w:pPr>
          <w:pStyle w:val="16"/>
          <w:tabs>
            <w:tab w:val="left" w:pos="284"/>
          </w:tabs>
          <w:jc w:val="right"/>
        </w:pPr>
        <w:r>
          <w:fldChar w:fldCharType="begin"/>
        </w:r>
        <w:r>
          <w:instrText xml:space="preserve">PAGE   \* MERGEFORMAT</w:instrText>
        </w:r>
        <w:r>
          <w:fldChar w:fldCharType="separate"/>
        </w:r>
        <w:r>
          <w:t>2</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i w:val="0"/>
      </w:rPr>
    </w:lvl>
    <w:lvl w:ilvl="1" w:tentative="0">
      <w:start w:val="1"/>
      <w:numFmt w:val="lowerLetter"/>
      <w:lvlText w:val="%2."/>
      <w:lvlJc w:val="left"/>
      <w:pPr>
        <w:ind w:left="1080" w:hanging="360"/>
      </w:pPr>
    </w:lvl>
    <w:lvl w:ilvl="2" w:tentative="0">
      <w:start w:val="1"/>
      <w:numFmt w:val="lowerRoman"/>
      <w:lvlText w:val="%3."/>
      <w:lvlJc w:val="left"/>
      <w:pPr>
        <w:ind w:left="1440" w:hanging="360"/>
      </w:pPr>
    </w:lvl>
    <w:lvl w:ilvl="3" w:tentative="0">
      <w:start w:val="1"/>
      <w:numFmt w:val="decimal"/>
      <w:lvlText w:val="%4."/>
      <w:lvlJc w:val="left"/>
      <w:pPr>
        <w:ind w:left="1800" w:hanging="360"/>
      </w:pPr>
    </w:lvl>
    <w:lvl w:ilvl="4" w:tentative="0">
      <w:start w:val="1"/>
      <w:numFmt w:val="lowerLetter"/>
      <w:lvlText w:val="%5."/>
      <w:lvlJc w:val="left"/>
      <w:pPr>
        <w:ind w:left="2160" w:hanging="360"/>
      </w:pPr>
    </w:lvl>
    <w:lvl w:ilvl="5" w:tentative="0">
      <w:start w:val="1"/>
      <w:numFmt w:val="lowerRoman"/>
      <w:lvlText w:val="%6."/>
      <w:lvlJc w:val="left"/>
      <w:pPr>
        <w:ind w:left="2520" w:hanging="360"/>
      </w:pPr>
    </w:lvl>
    <w:lvl w:ilvl="6" w:tentative="0">
      <w:start w:val="1"/>
      <w:numFmt w:val="decimal"/>
      <w:lvlText w:val="%7."/>
      <w:lvlJc w:val="left"/>
      <w:pPr>
        <w:ind w:left="2880" w:hanging="360"/>
      </w:pPr>
    </w:lvl>
    <w:lvl w:ilvl="7" w:tentative="0">
      <w:start w:val="1"/>
      <w:numFmt w:val="lowerLetter"/>
      <w:lvlText w:val="%8."/>
      <w:lvlJc w:val="left"/>
      <w:pPr>
        <w:ind w:left="3240" w:hanging="360"/>
      </w:pPr>
    </w:lvl>
    <w:lvl w:ilvl="8" w:tentative="0">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7"/>
    <w:rsid w:val="00000DF3"/>
    <w:rsid w:val="00000EAF"/>
    <w:rsid w:val="00007834"/>
    <w:rsid w:val="0001019F"/>
    <w:rsid w:val="00012E2C"/>
    <w:rsid w:val="00014E90"/>
    <w:rsid w:val="00014F54"/>
    <w:rsid w:val="00016D31"/>
    <w:rsid w:val="000177FA"/>
    <w:rsid w:val="00023A5D"/>
    <w:rsid w:val="0002524C"/>
    <w:rsid w:val="00031B19"/>
    <w:rsid w:val="00031F1A"/>
    <w:rsid w:val="000325FB"/>
    <w:rsid w:val="00034D3B"/>
    <w:rsid w:val="000369DB"/>
    <w:rsid w:val="000373E7"/>
    <w:rsid w:val="00040727"/>
    <w:rsid w:val="00041250"/>
    <w:rsid w:val="00041674"/>
    <w:rsid w:val="00041E14"/>
    <w:rsid w:val="0004292D"/>
    <w:rsid w:val="00042BE3"/>
    <w:rsid w:val="00044980"/>
    <w:rsid w:val="000454FA"/>
    <w:rsid w:val="000457E0"/>
    <w:rsid w:val="000469B0"/>
    <w:rsid w:val="00047D0E"/>
    <w:rsid w:val="000509F8"/>
    <w:rsid w:val="00051945"/>
    <w:rsid w:val="00052F43"/>
    <w:rsid w:val="000548B9"/>
    <w:rsid w:val="00055449"/>
    <w:rsid w:val="00055658"/>
    <w:rsid w:val="00056736"/>
    <w:rsid w:val="00057438"/>
    <w:rsid w:val="00062794"/>
    <w:rsid w:val="000628EC"/>
    <w:rsid w:val="0006388C"/>
    <w:rsid w:val="00064724"/>
    <w:rsid w:val="00066EF8"/>
    <w:rsid w:val="00067487"/>
    <w:rsid w:val="00071468"/>
    <w:rsid w:val="00071C61"/>
    <w:rsid w:val="00072388"/>
    <w:rsid w:val="000728C8"/>
    <w:rsid w:val="000742A1"/>
    <w:rsid w:val="000747CA"/>
    <w:rsid w:val="00076567"/>
    <w:rsid w:val="00080596"/>
    <w:rsid w:val="00081B09"/>
    <w:rsid w:val="000849EC"/>
    <w:rsid w:val="00087D8B"/>
    <w:rsid w:val="000908C0"/>
    <w:rsid w:val="000938AA"/>
    <w:rsid w:val="00093CC0"/>
    <w:rsid w:val="00097158"/>
    <w:rsid w:val="000973E4"/>
    <w:rsid w:val="000A197D"/>
    <w:rsid w:val="000A2E75"/>
    <w:rsid w:val="000A407D"/>
    <w:rsid w:val="000A4ADA"/>
    <w:rsid w:val="000A5EC1"/>
    <w:rsid w:val="000A5EFC"/>
    <w:rsid w:val="000A639A"/>
    <w:rsid w:val="000A6C01"/>
    <w:rsid w:val="000A71BC"/>
    <w:rsid w:val="000B6183"/>
    <w:rsid w:val="000B68B1"/>
    <w:rsid w:val="000B6FA9"/>
    <w:rsid w:val="000B7E7E"/>
    <w:rsid w:val="000C2065"/>
    <w:rsid w:val="000C6822"/>
    <w:rsid w:val="000C6F6D"/>
    <w:rsid w:val="000C7719"/>
    <w:rsid w:val="000D2D23"/>
    <w:rsid w:val="000D2EC4"/>
    <w:rsid w:val="000D31E9"/>
    <w:rsid w:val="000D64DC"/>
    <w:rsid w:val="000D64EF"/>
    <w:rsid w:val="000E122A"/>
    <w:rsid w:val="000E14C8"/>
    <w:rsid w:val="000E28DB"/>
    <w:rsid w:val="000E375F"/>
    <w:rsid w:val="000E5000"/>
    <w:rsid w:val="000E72C4"/>
    <w:rsid w:val="000F0FBB"/>
    <w:rsid w:val="000F2C64"/>
    <w:rsid w:val="000F4B82"/>
    <w:rsid w:val="001020C7"/>
    <w:rsid w:val="001025D5"/>
    <w:rsid w:val="00111E5F"/>
    <w:rsid w:val="001127D3"/>
    <w:rsid w:val="001131BF"/>
    <w:rsid w:val="0011488C"/>
    <w:rsid w:val="00115414"/>
    <w:rsid w:val="001155B5"/>
    <w:rsid w:val="00115DB4"/>
    <w:rsid w:val="00116636"/>
    <w:rsid w:val="001169CC"/>
    <w:rsid w:val="00117F1C"/>
    <w:rsid w:val="001243B7"/>
    <w:rsid w:val="00125491"/>
    <w:rsid w:val="00126C90"/>
    <w:rsid w:val="00127671"/>
    <w:rsid w:val="0012799D"/>
    <w:rsid w:val="00133420"/>
    <w:rsid w:val="001411CB"/>
    <w:rsid w:val="001451F6"/>
    <w:rsid w:val="00146A00"/>
    <w:rsid w:val="001521E1"/>
    <w:rsid w:val="0015228A"/>
    <w:rsid w:val="001537BE"/>
    <w:rsid w:val="00153F04"/>
    <w:rsid w:val="001541DE"/>
    <w:rsid w:val="00156DF7"/>
    <w:rsid w:val="00156E9A"/>
    <w:rsid w:val="00160360"/>
    <w:rsid w:val="0016322F"/>
    <w:rsid w:val="00164479"/>
    <w:rsid w:val="001661E5"/>
    <w:rsid w:val="001721AF"/>
    <w:rsid w:val="001727F7"/>
    <w:rsid w:val="00174AAB"/>
    <w:rsid w:val="00175941"/>
    <w:rsid w:val="001776F5"/>
    <w:rsid w:val="00177D64"/>
    <w:rsid w:val="00180496"/>
    <w:rsid w:val="00182A91"/>
    <w:rsid w:val="00191244"/>
    <w:rsid w:val="0019248B"/>
    <w:rsid w:val="00192B22"/>
    <w:rsid w:val="001949B2"/>
    <w:rsid w:val="001949BE"/>
    <w:rsid w:val="00195228"/>
    <w:rsid w:val="00195A7B"/>
    <w:rsid w:val="001A095E"/>
    <w:rsid w:val="001A0B62"/>
    <w:rsid w:val="001A2A19"/>
    <w:rsid w:val="001A4187"/>
    <w:rsid w:val="001A421A"/>
    <w:rsid w:val="001A4C51"/>
    <w:rsid w:val="001A5B6A"/>
    <w:rsid w:val="001A613D"/>
    <w:rsid w:val="001A634C"/>
    <w:rsid w:val="001B3269"/>
    <w:rsid w:val="001B3948"/>
    <w:rsid w:val="001B438A"/>
    <w:rsid w:val="001B5EAA"/>
    <w:rsid w:val="001B7E09"/>
    <w:rsid w:val="001C03A0"/>
    <w:rsid w:val="001C18F8"/>
    <w:rsid w:val="001C2BDC"/>
    <w:rsid w:val="001C3177"/>
    <w:rsid w:val="001C3CE4"/>
    <w:rsid w:val="001C41BE"/>
    <w:rsid w:val="001C427E"/>
    <w:rsid w:val="001C42DC"/>
    <w:rsid w:val="001C48D4"/>
    <w:rsid w:val="001C5B6E"/>
    <w:rsid w:val="001C5F89"/>
    <w:rsid w:val="001D056E"/>
    <w:rsid w:val="001D1FC2"/>
    <w:rsid w:val="001D262A"/>
    <w:rsid w:val="001D2C30"/>
    <w:rsid w:val="001D36E9"/>
    <w:rsid w:val="001D3C75"/>
    <w:rsid w:val="001D3F5D"/>
    <w:rsid w:val="001D44D9"/>
    <w:rsid w:val="001D6AD6"/>
    <w:rsid w:val="001D6E00"/>
    <w:rsid w:val="001D7F61"/>
    <w:rsid w:val="001E5AC9"/>
    <w:rsid w:val="001F162E"/>
    <w:rsid w:val="001F5C9F"/>
    <w:rsid w:val="0020108D"/>
    <w:rsid w:val="00202C2D"/>
    <w:rsid w:val="00205194"/>
    <w:rsid w:val="002055FD"/>
    <w:rsid w:val="0020766E"/>
    <w:rsid w:val="00210032"/>
    <w:rsid w:val="0021119A"/>
    <w:rsid w:val="00215E5F"/>
    <w:rsid w:val="00222169"/>
    <w:rsid w:val="002222E7"/>
    <w:rsid w:val="0022524D"/>
    <w:rsid w:val="00227F9E"/>
    <w:rsid w:val="00230031"/>
    <w:rsid w:val="00230120"/>
    <w:rsid w:val="00231A02"/>
    <w:rsid w:val="00232E61"/>
    <w:rsid w:val="002331E7"/>
    <w:rsid w:val="00233895"/>
    <w:rsid w:val="00237075"/>
    <w:rsid w:val="00237327"/>
    <w:rsid w:val="00240EB3"/>
    <w:rsid w:val="00241E80"/>
    <w:rsid w:val="002429F0"/>
    <w:rsid w:val="0024400D"/>
    <w:rsid w:val="00246F9A"/>
    <w:rsid w:val="0025051F"/>
    <w:rsid w:val="00250E8A"/>
    <w:rsid w:val="00260CCF"/>
    <w:rsid w:val="00264231"/>
    <w:rsid w:val="002716D2"/>
    <w:rsid w:val="00272B83"/>
    <w:rsid w:val="00274DC8"/>
    <w:rsid w:val="00274DFA"/>
    <w:rsid w:val="002759FB"/>
    <w:rsid w:val="002778B0"/>
    <w:rsid w:val="00280306"/>
    <w:rsid w:val="0028439A"/>
    <w:rsid w:val="00285B69"/>
    <w:rsid w:val="0029067F"/>
    <w:rsid w:val="0029147F"/>
    <w:rsid w:val="00292443"/>
    <w:rsid w:val="002942AC"/>
    <w:rsid w:val="002943E8"/>
    <w:rsid w:val="00295F83"/>
    <w:rsid w:val="00297028"/>
    <w:rsid w:val="002A2FEC"/>
    <w:rsid w:val="002A6529"/>
    <w:rsid w:val="002A7787"/>
    <w:rsid w:val="002B661F"/>
    <w:rsid w:val="002C00D2"/>
    <w:rsid w:val="002C17BF"/>
    <w:rsid w:val="002C279F"/>
    <w:rsid w:val="002C2E99"/>
    <w:rsid w:val="002C5DAC"/>
    <w:rsid w:val="002C7ABC"/>
    <w:rsid w:val="002D5AFA"/>
    <w:rsid w:val="002D6053"/>
    <w:rsid w:val="002E0088"/>
    <w:rsid w:val="002E0F40"/>
    <w:rsid w:val="002E341B"/>
    <w:rsid w:val="002E4CF0"/>
    <w:rsid w:val="002E4D46"/>
    <w:rsid w:val="002E4E74"/>
    <w:rsid w:val="002E6B1C"/>
    <w:rsid w:val="002F14BC"/>
    <w:rsid w:val="002F2C48"/>
    <w:rsid w:val="002F34F8"/>
    <w:rsid w:val="002F57D6"/>
    <w:rsid w:val="002F6516"/>
    <w:rsid w:val="002F74CF"/>
    <w:rsid w:val="002F78CB"/>
    <w:rsid w:val="003009FE"/>
    <w:rsid w:val="00304429"/>
    <w:rsid w:val="00306CE9"/>
    <w:rsid w:val="00311AF6"/>
    <w:rsid w:val="0031363D"/>
    <w:rsid w:val="00316DC9"/>
    <w:rsid w:val="0031723F"/>
    <w:rsid w:val="003209C0"/>
    <w:rsid w:val="003225AB"/>
    <w:rsid w:val="00322E5E"/>
    <w:rsid w:val="00330AC8"/>
    <w:rsid w:val="00330DC0"/>
    <w:rsid w:val="00330F7C"/>
    <w:rsid w:val="00336560"/>
    <w:rsid w:val="003413A6"/>
    <w:rsid w:val="00341ABD"/>
    <w:rsid w:val="00341F9D"/>
    <w:rsid w:val="00343140"/>
    <w:rsid w:val="003453D3"/>
    <w:rsid w:val="00346264"/>
    <w:rsid w:val="003471E8"/>
    <w:rsid w:val="00347F58"/>
    <w:rsid w:val="003511C7"/>
    <w:rsid w:val="003515BE"/>
    <w:rsid w:val="00352C79"/>
    <w:rsid w:val="00354381"/>
    <w:rsid w:val="00355243"/>
    <w:rsid w:val="003572CF"/>
    <w:rsid w:val="00361904"/>
    <w:rsid w:val="0036326B"/>
    <w:rsid w:val="00363768"/>
    <w:rsid w:val="0036548F"/>
    <w:rsid w:val="00366ABA"/>
    <w:rsid w:val="0036794B"/>
    <w:rsid w:val="003701F5"/>
    <w:rsid w:val="0037132F"/>
    <w:rsid w:val="0037238F"/>
    <w:rsid w:val="003729D1"/>
    <w:rsid w:val="003741A5"/>
    <w:rsid w:val="00374C9A"/>
    <w:rsid w:val="00381649"/>
    <w:rsid w:val="0038401E"/>
    <w:rsid w:val="00385564"/>
    <w:rsid w:val="003857ED"/>
    <w:rsid w:val="0038674F"/>
    <w:rsid w:val="00387904"/>
    <w:rsid w:val="00390FEA"/>
    <w:rsid w:val="00392EF6"/>
    <w:rsid w:val="00397604"/>
    <w:rsid w:val="003A0FC3"/>
    <w:rsid w:val="003A369A"/>
    <w:rsid w:val="003B422E"/>
    <w:rsid w:val="003B4435"/>
    <w:rsid w:val="003B66DA"/>
    <w:rsid w:val="003B6B46"/>
    <w:rsid w:val="003B77D8"/>
    <w:rsid w:val="003C1197"/>
    <w:rsid w:val="003C358D"/>
    <w:rsid w:val="003C3670"/>
    <w:rsid w:val="003C3E25"/>
    <w:rsid w:val="003C5338"/>
    <w:rsid w:val="003D233B"/>
    <w:rsid w:val="003D377C"/>
    <w:rsid w:val="003D3C04"/>
    <w:rsid w:val="003D76E9"/>
    <w:rsid w:val="003D7744"/>
    <w:rsid w:val="003E0B33"/>
    <w:rsid w:val="003E2A42"/>
    <w:rsid w:val="003E41C5"/>
    <w:rsid w:val="003E4A07"/>
    <w:rsid w:val="003F1A46"/>
    <w:rsid w:val="003F2287"/>
    <w:rsid w:val="003F288B"/>
    <w:rsid w:val="003F3714"/>
    <w:rsid w:val="003F4067"/>
    <w:rsid w:val="003F4420"/>
    <w:rsid w:val="003F4926"/>
    <w:rsid w:val="003F51F0"/>
    <w:rsid w:val="003F573C"/>
    <w:rsid w:val="003F75BE"/>
    <w:rsid w:val="003F7D5E"/>
    <w:rsid w:val="003F7F22"/>
    <w:rsid w:val="00400535"/>
    <w:rsid w:val="00403FDC"/>
    <w:rsid w:val="00407B79"/>
    <w:rsid w:val="00407EEC"/>
    <w:rsid w:val="00411279"/>
    <w:rsid w:val="00411F45"/>
    <w:rsid w:val="00412D9B"/>
    <w:rsid w:val="00416055"/>
    <w:rsid w:val="00420E5D"/>
    <w:rsid w:val="004213A9"/>
    <w:rsid w:val="00421504"/>
    <w:rsid w:val="00421EF8"/>
    <w:rsid w:val="00422D2A"/>
    <w:rsid w:val="0042364D"/>
    <w:rsid w:val="004239AB"/>
    <w:rsid w:val="0042496A"/>
    <w:rsid w:val="0043208E"/>
    <w:rsid w:val="00434E46"/>
    <w:rsid w:val="00436ED1"/>
    <w:rsid w:val="0044081B"/>
    <w:rsid w:val="0044167B"/>
    <w:rsid w:val="0044259E"/>
    <w:rsid w:val="00450848"/>
    <w:rsid w:val="0045206F"/>
    <w:rsid w:val="00452F44"/>
    <w:rsid w:val="0046651C"/>
    <w:rsid w:val="00467676"/>
    <w:rsid w:val="004705D8"/>
    <w:rsid w:val="004720D9"/>
    <w:rsid w:val="004720F8"/>
    <w:rsid w:val="00474475"/>
    <w:rsid w:val="00474ABF"/>
    <w:rsid w:val="00474E8E"/>
    <w:rsid w:val="0047513A"/>
    <w:rsid w:val="00476905"/>
    <w:rsid w:val="00476E5C"/>
    <w:rsid w:val="00477365"/>
    <w:rsid w:val="004827B5"/>
    <w:rsid w:val="004834DC"/>
    <w:rsid w:val="00486BD3"/>
    <w:rsid w:val="004917B2"/>
    <w:rsid w:val="004934E0"/>
    <w:rsid w:val="00493A97"/>
    <w:rsid w:val="0049453A"/>
    <w:rsid w:val="00494B68"/>
    <w:rsid w:val="00495BF6"/>
    <w:rsid w:val="00496ECC"/>
    <w:rsid w:val="00497AF6"/>
    <w:rsid w:val="004A2B85"/>
    <w:rsid w:val="004A44D0"/>
    <w:rsid w:val="004A467B"/>
    <w:rsid w:val="004A4FF3"/>
    <w:rsid w:val="004A7898"/>
    <w:rsid w:val="004A7C0E"/>
    <w:rsid w:val="004B05C5"/>
    <w:rsid w:val="004B07F0"/>
    <w:rsid w:val="004B1940"/>
    <w:rsid w:val="004B4576"/>
    <w:rsid w:val="004B57D7"/>
    <w:rsid w:val="004B747C"/>
    <w:rsid w:val="004C1AC8"/>
    <w:rsid w:val="004C3E4C"/>
    <w:rsid w:val="004C452F"/>
    <w:rsid w:val="004C5200"/>
    <w:rsid w:val="004C63CD"/>
    <w:rsid w:val="004C7A81"/>
    <w:rsid w:val="004D163B"/>
    <w:rsid w:val="004D2E4C"/>
    <w:rsid w:val="004D4A65"/>
    <w:rsid w:val="004D518B"/>
    <w:rsid w:val="004D5C73"/>
    <w:rsid w:val="004E0206"/>
    <w:rsid w:val="004E3D1B"/>
    <w:rsid w:val="004E400B"/>
    <w:rsid w:val="004E4183"/>
    <w:rsid w:val="004E52C5"/>
    <w:rsid w:val="004E56B4"/>
    <w:rsid w:val="004F0162"/>
    <w:rsid w:val="004F5DA9"/>
    <w:rsid w:val="005032B1"/>
    <w:rsid w:val="0050415F"/>
    <w:rsid w:val="005062ED"/>
    <w:rsid w:val="005074BC"/>
    <w:rsid w:val="0051120B"/>
    <w:rsid w:val="00511AC5"/>
    <w:rsid w:val="00511C19"/>
    <w:rsid w:val="0051790B"/>
    <w:rsid w:val="00522740"/>
    <w:rsid w:val="005253FE"/>
    <w:rsid w:val="00525424"/>
    <w:rsid w:val="0052589E"/>
    <w:rsid w:val="005269B6"/>
    <w:rsid w:val="005303A3"/>
    <w:rsid w:val="0053266A"/>
    <w:rsid w:val="005410E5"/>
    <w:rsid w:val="005479FB"/>
    <w:rsid w:val="00550504"/>
    <w:rsid w:val="00560785"/>
    <w:rsid w:val="00561714"/>
    <w:rsid w:val="00566062"/>
    <w:rsid w:val="00573056"/>
    <w:rsid w:val="0058219B"/>
    <w:rsid w:val="005833A5"/>
    <w:rsid w:val="00583F9E"/>
    <w:rsid w:val="00585480"/>
    <w:rsid w:val="00586847"/>
    <w:rsid w:val="005869BE"/>
    <w:rsid w:val="0059084E"/>
    <w:rsid w:val="005909E9"/>
    <w:rsid w:val="00590F1D"/>
    <w:rsid w:val="005911CA"/>
    <w:rsid w:val="005922B7"/>
    <w:rsid w:val="00594B54"/>
    <w:rsid w:val="00594D5E"/>
    <w:rsid w:val="00596174"/>
    <w:rsid w:val="005A0F8F"/>
    <w:rsid w:val="005A1C91"/>
    <w:rsid w:val="005A25FF"/>
    <w:rsid w:val="005A63A9"/>
    <w:rsid w:val="005B0255"/>
    <w:rsid w:val="005B05DA"/>
    <w:rsid w:val="005B2943"/>
    <w:rsid w:val="005B66F7"/>
    <w:rsid w:val="005C01CF"/>
    <w:rsid w:val="005C2EB0"/>
    <w:rsid w:val="005C3FDA"/>
    <w:rsid w:val="005C4342"/>
    <w:rsid w:val="005C687C"/>
    <w:rsid w:val="005C7FF1"/>
    <w:rsid w:val="005D1828"/>
    <w:rsid w:val="005D1A90"/>
    <w:rsid w:val="005D370A"/>
    <w:rsid w:val="005D6A07"/>
    <w:rsid w:val="005D7A79"/>
    <w:rsid w:val="005E1BE8"/>
    <w:rsid w:val="005E797B"/>
    <w:rsid w:val="005F1371"/>
    <w:rsid w:val="005F1F28"/>
    <w:rsid w:val="005F3136"/>
    <w:rsid w:val="005F3C1C"/>
    <w:rsid w:val="005F518E"/>
    <w:rsid w:val="005F70CF"/>
    <w:rsid w:val="005F71EB"/>
    <w:rsid w:val="005F7266"/>
    <w:rsid w:val="005F7BCD"/>
    <w:rsid w:val="0060097C"/>
    <w:rsid w:val="0060407C"/>
    <w:rsid w:val="00604998"/>
    <w:rsid w:val="00606EFC"/>
    <w:rsid w:val="00607AAC"/>
    <w:rsid w:val="00607B61"/>
    <w:rsid w:val="00607C9B"/>
    <w:rsid w:val="00610CB8"/>
    <w:rsid w:val="00610D7E"/>
    <w:rsid w:val="00611482"/>
    <w:rsid w:val="00611C20"/>
    <w:rsid w:val="006121B9"/>
    <w:rsid w:val="0061327A"/>
    <w:rsid w:val="00613763"/>
    <w:rsid w:val="00614A81"/>
    <w:rsid w:val="0062547F"/>
    <w:rsid w:val="00630E1B"/>
    <w:rsid w:val="00631574"/>
    <w:rsid w:val="00632DAD"/>
    <w:rsid w:val="0063448E"/>
    <w:rsid w:val="00636BD9"/>
    <w:rsid w:val="00637C0D"/>
    <w:rsid w:val="0064183B"/>
    <w:rsid w:val="00642B99"/>
    <w:rsid w:val="00645685"/>
    <w:rsid w:val="00645F8B"/>
    <w:rsid w:val="00646A2B"/>
    <w:rsid w:val="00646A4F"/>
    <w:rsid w:val="00647E35"/>
    <w:rsid w:val="00650375"/>
    <w:rsid w:val="00650782"/>
    <w:rsid w:val="0065147A"/>
    <w:rsid w:val="006514F8"/>
    <w:rsid w:val="00651AF9"/>
    <w:rsid w:val="0065241E"/>
    <w:rsid w:val="00652BE5"/>
    <w:rsid w:val="00654065"/>
    <w:rsid w:val="00656AB5"/>
    <w:rsid w:val="0066054B"/>
    <w:rsid w:val="00666337"/>
    <w:rsid w:val="00666836"/>
    <w:rsid w:val="00666860"/>
    <w:rsid w:val="00666BA2"/>
    <w:rsid w:val="00670EC2"/>
    <w:rsid w:val="00671386"/>
    <w:rsid w:val="0067374F"/>
    <w:rsid w:val="00674821"/>
    <w:rsid w:val="00675280"/>
    <w:rsid w:val="00675A13"/>
    <w:rsid w:val="00676055"/>
    <w:rsid w:val="00680909"/>
    <w:rsid w:val="00683687"/>
    <w:rsid w:val="00685422"/>
    <w:rsid w:val="006869BA"/>
    <w:rsid w:val="0069105A"/>
    <w:rsid w:val="0069270B"/>
    <w:rsid w:val="00693176"/>
    <w:rsid w:val="0069365C"/>
    <w:rsid w:val="00695055"/>
    <w:rsid w:val="00695513"/>
    <w:rsid w:val="00695D3A"/>
    <w:rsid w:val="00697EE9"/>
    <w:rsid w:val="006A0E48"/>
    <w:rsid w:val="006A1408"/>
    <w:rsid w:val="006A2D5C"/>
    <w:rsid w:val="006A2E63"/>
    <w:rsid w:val="006A3D90"/>
    <w:rsid w:val="006A5B74"/>
    <w:rsid w:val="006A6B50"/>
    <w:rsid w:val="006A7E34"/>
    <w:rsid w:val="006B0D2B"/>
    <w:rsid w:val="006B2C0C"/>
    <w:rsid w:val="006B2C6D"/>
    <w:rsid w:val="006B354C"/>
    <w:rsid w:val="006B4F23"/>
    <w:rsid w:val="006C0937"/>
    <w:rsid w:val="006C0D70"/>
    <w:rsid w:val="006D0682"/>
    <w:rsid w:val="006D4235"/>
    <w:rsid w:val="006D47C9"/>
    <w:rsid w:val="006D4ECD"/>
    <w:rsid w:val="006D5475"/>
    <w:rsid w:val="006D5E6A"/>
    <w:rsid w:val="006D60A7"/>
    <w:rsid w:val="006D7F11"/>
    <w:rsid w:val="006E1E88"/>
    <w:rsid w:val="006E2899"/>
    <w:rsid w:val="006E5791"/>
    <w:rsid w:val="006F0169"/>
    <w:rsid w:val="006F131F"/>
    <w:rsid w:val="006F1E8E"/>
    <w:rsid w:val="006F3EF3"/>
    <w:rsid w:val="006F7E60"/>
    <w:rsid w:val="0070132C"/>
    <w:rsid w:val="007020CC"/>
    <w:rsid w:val="007041F1"/>
    <w:rsid w:val="00706828"/>
    <w:rsid w:val="00706C0E"/>
    <w:rsid w:val="0070704C"/>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6E2"/>
    <w:rsid w:val="00737B31"/>
    <w:rsid w:val="00737EDE"/>
    <w:rsid w:val="00742D9F"/>
    <w:rsid w:val="0074366C"/>
    <w:rsid w:val="00743AFA"/>
    <w:rsid w:val="00745CD6"/>
    <w:rsid w:val="00746E57"/>
    <w:rsid w:val="007507F0"/>
    <w:rsid w:val="00751110"/>
    <w:rsid w:val="00751704"/>
    <w:rsid w:val="0075363A"/>
    <w:rsid w:val="00754B76"/>
    <w:rsid w:val="007555A6"/>
    <w:rsid w:val="00755BC1"/>
    <w:rsid w:val="00757890"/>
    <w:rsid w:val="00757A8C"/>
    <w:rsid w:val="00757D1D"/>
    <w:rsid w:val="007638E8"/>
    <w:rsid w:val="00763AB0"/>
    <w:rsid w:val="00764FBB"/>
    <w:rsid w:val="007653DC"/>
    <w:rsid w:val="00765B94"/>
    <w:rsid w:val="0076781F"/>
    <w:rsid w:val="007701B9"/>
    <w:rsid w:val="00770A96"/>
    <w:rsid w:val="007720CA"/>
    <w:rsid w:val="00772A66"/>
    <w:rsid w:val="007749D1"/>
    <w:rsid w:val="007771D2"/>
    <w:rsid w:val="00780949"/>
    <w:rsid w:val="00781BFA"/>
    <w:rsid w:val="00782AA3"/>
    <w:rsid w:val="0078358D"/>
    <w:rsid w:val="00785050"/>
    <w:rsid w:val="00787F28"/>
    <w:rsid w:val="00787F95"/>
    <w:rsid w:val="007905EF"/>
    <w:rsid w:val="00791DB9"/>
    <w:rsid w:val="00792B14"/>
    <w:rsid w:val="0079494E"/>
    <w:rsid w:val="00796D5B"/>
    <w:rsid w:val="007A356C"/>
    <w:rsid w:val="007A51CC"/>
    <w:rsid w:val="007A5902"/>
    <w:rsid w:val="007A5F95"/>
    <w:rsid w:val="007A7E17"/>
    <w:rsid w:val="007B00B7"/>
    <w:rsid w:val="007B0476"/>
    <w:rsid w:val="007B56B8"/>
    <w:rsid w:val="007B5C59"/>
    <w:rsid w:val="007C30CE"/>
    <w:rsid w:val="007C7291"/>
    <w:rsid w:val="007D2687"/>
    <w:rsid w:val="007D497D"/>
    <w:rsid w:val="007D4C7E"/>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C7B"/>
    <w:rsid w:val="00802FEF"/>
    <w:rsid w:val="00803700"/>
    <w:rsid w:val="00805018"/>
    <w:rsid w:val="00805DDB"/>
    <w:rsid w:val="008066CE"/>
    <w:rsid w:val="008069A1"/>
    <w:rsid w:val="00812440"/>
    <w:rsid w:val="008124B7"/>
    <w:rsid w:val="008127DA"/>
    <w:rsid w:val="008145C1"/>
    <w:rsid w:val="00814D80"/>
    <w:rsid w:val="00821974"/>
    <w:rsid w:val="0082470F"/>
    <w:rsid w:val="008267F5"/>
    <w:rsid w:val="008378F9"/>
    <w:rsid w:val="00840794"/>
    <w:rsid w:val="00842072"/>
    <w:rsid w:val="00843B97"/>
    <w:rsid w:val="008445F5"/>
    <w:rsid w:val="00847286"/>
    <w:rsid w:val="0085331E"/>
    <w:rsid w:val="00853D81"/>
    <w:rsid w:val="00855484"/>
    <w:rsid w:val="008575E4"/>
    <w:rsid w:val="00864A44"/>
    <w:rsid w:val="0086687F"/>
    <w:rsid w:val="00870BE9"/>
    <w:rsid w:val="00870FA6"/>
    <w:rsid w:val="0087181B"/>
    <w:rsid w:val="00871B64"/>
    <w:rsid w:val="00873A91"/>
    <w:rsid w:val="00873BFD"/>
    <w:rsid w:val="008740F0"/>
    <w:rsid w:val="00874E46"/>
    <w:rsid w:val="008776A9"/>
    <w:rsid w:val="00877814"/>
    <w:rsid w:val="008824F6"/>
    <w:rsid w:val="008840A2"/>
    <w:rsid w:val="00884101"/>
    <w:rsid w:val="00884C6B"/>
    <w:rsid w:val="00885D4F"/>
    <w:rsid w:val="00886328"/>
    <w:rsid w:val="00886887"/>
    <w:rsid w:val="008872D8"/>
    <w:rsid w:val="00893EF5"/>
    <w:rsid w:val="008941A6"/>
    <w:rsid w:val="00894B8F"/>
    <w:rsid w:val="008958A4"/>
    <w:rsid w:val="00895CC5"/>
    <w:rsid w:val="00896629"/>
    <w:rsid w:val="00896CF9"/>
    <w:rsid w:val="00897502"/>
    <w:rsid w:val="00897ABC"/>
    <w:rsid w:val="008A0AE3"/>
    <w:rsid w:val="008A62C8"/>
    <w:rsid w:val="008A68B5"/>
    <w:rsid w:val="008A694D"/>
    <w:rsid w:val="008A72D3"/>
    <w:rsid w:val="008A745D"/>
    <w:rsid w:val="008B1770"/>
    <w:rsid w:val="008B2861"/>
    <w:rsid w:val="008B3064"/>
    <w:rsid w:val="008B5FE7"/>
    <w:rsid w:val="008B6EB3"/>
    <w:rsid w:val="008C48F1"/>
    <w:rsid w:val="008C567F"/>
    <w:rsid w:val="008C6362"/>
    <w:rsid w:val="008D0DF1"/>
    <w:rsid w:val="008D0EDD"/>
    <w:rsid w:val="008D3EBD"/>
    <w:rsid w:val="008D4E8F"/>
    <w:rsid w:val="008D50C3"/>
    <w:rsid w:val="008D63B6"/>
    <w:rsid w:val="008D7675"/>
    <w:rsid w:val="008E002B"/>
    <w:rsid w:val="008E081F"/>
    <w:rsid w:val="008E1029"/>
    <w:rsid w:val="008E1A39"/>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415"/>
    <w:rsid w:val="00905C02"/>
    <w:rsid w:val="009068CD"/>
    <w:rsid w:val="00906B7D"/>
    <w:rsid w:val="0091187C"/>
    <w:rsid w:val="0091286B"/>
    <w:rsid w:val="00912D2D"/>
    <w:rsid w:val="009139D9"/>
    <w:rsid w:val="009154E3"/>
    <w:rsid w:val="009160A1"/>
    <w:rsid w:val="009178B3"/>
    <w:rsid w:val="00923F54"/>
    <w:rsid w:val="009243E4"/>
    <w:rsid w:val="00924A28"/>
    <w:rsid w:val="00924F45"/>
    <w:rsid w:val="00927627"/>
    <w:rsid w:val="00934478"/>
    <w:rsid w:val="009347C8"/>
    <w:rsid w:val="00935310"/>
    <w:rsid w:val="009364E8"/>
    <w:rsid w:val="00942894"/>
    <w:rsid w:val="009443C2"/>
    <w:rsid w:val="009460B2"/>
    <w:rsid w:val="00953A89"/>
    <w:rsid w:val="00955C34"/>
    <w:rsid w:val="00956FD3"/>
    <w:rsid w:val="00961E17"/>
    <w:rsid w:val="00964BF5"/>
    <w:rsid w:val="00965016"/>
    <w:rsid w:val="0096600A"/>
    <w:rsid w:val="00973D33"/>
    <w:rsid w:val="00975119"/>
    <w:rsid w:val="009773B9"/>
    <w:rsid w:val="00980129"/>
    <w:rsid w:val="00981DE7"/>
    <w:rsid w:val="009868D3"/>
    <w:rsid w:val="00986F87"/>
    <w:rsid w:val="00990C7F"/>
    <w:rsid w:val="00990FF3"/>
    <w:rsid w:val="00991D88"/>
    <w:rsid w:val="00991ECA"/>
    <w:rsid w:val="00993C31"/>
    <w:rsid w:val="00994455"/>
    <w:rsid w:val="009946F6"/>
    <w:rsid w:val="00994E26"/>
    <w:rsid w:val="00997522"/>
    <w:rsid w:val="009A1FC8"/>
    <w:rsid w:val="009A2AC4"/>
    <w:rsid w:val="009A37D6"/>
    <w:rsid w:val="009A397C"/>
    <w:rsid w:val="009A3A93"/>
    <w:rsid w:val="009A3D15"/>
    <w:rsid w:val="009A4738"/>
    <w:rsid w:val="009A7D31"/>
    <w:rsid w:val="009B17CD"/>
    <w:rsid w:val="009B3694"/>
    <w:rsid w:val="009B58E0"/>
    <w:rsid w:val="009B5F76"/>
    <w:rsid w:val="009B6F6C"/>
    <w:rsid w:val="009C0652"/>
    <w:rsid w:val="009C12CB"/>
    <w:rsid w:val="009C1462"/>
    <w:rsid w:val="009C15AA"/>
    <w:rsid w:val="009C4ABB"/>
    <w:rsid w:val="009C65A0"/>
    <w:rsid w:val="009D3C3F"/>
    <w:rsid w:val="009E0BD1"/>
    <w:rsid w:val="009E1A45"/>
    <w:rsid w:val="009E1CD0"/>
    <w:rsid w:val="009E35E0"/>
    <w:rsid w:val="009E7A51"/>
    <w:rsid w:val="009F42A5"/>
    <w:rsid w:val="00A00AC6"/>
    <w:rsid w:val="00A00F5E"/>
    <w:rsid w:val="00A027B8"/>
    <w:rsid w:val="00A03BAD"/>
    <w:rsid w:val="00A04485"/>
    <w:rsid w:val="00A073B4"/>
    <w:rsid w:val="00A105D0"/>
    <w:rsid w:val="00A109EE"/>
    <w:rsid w:val="00A12071"/>
    <w:rsid w:val="00A127F1"/>
    <w:rsid w:val="00A21DF6"/>
    <w:rsid w:val="00A21FB5"/>
    <w:rsid w:val="00A23392"/>
    <w:rsid w:val="00A248C3"/>
    <w:rsid w:val="00A25536"/>
    <w:rsid w:val="00A2736C"/>
    <w:rsid w:val="00A27F50"/>
    <w:rsid w:val="00A30DD0"/>
    <w:rsid w:val="00A315EB"/>
    <w:rsid w:val="00A31F1C"/>
    <w:rsid w:val="00A32CDC"/>
    <w:rsid w:val="00A34375"/>
    <w:rsid w:val="00A37AE7"/>
    <w:rsid w:val="00A40033"/>
    <w:rsid w:val="00A404AD"/>
    <w:rsid w:val="00A40B15"/>
    <w:rsid w:val="00A415F3"/>
    <w:rsid w:val="00A42835"/>
    <w:rsid w:val="00A45487"/>
    <w:rsid w:val="00A46F2F"/>
    <w:rsid w:val="00A5060F"/>
    <w:rsid w:val="00A534E6"/>
    <w:rsid w:val="00A56769"/>
    <w:rsid w:val="00A5788D"/>
    <w:rsid w:val="00A5789F"/>
    <w:rsid w:val="00A62692"/>
    <w:rsid w:val="00A628A8"/>
    <w:rsid w:val="00A64BCF"/>
    <w:rsid w:val="00A66132"/>
    <w:rsid w:val="00A67022"/>
    <w:rsid w:val="00A7081C"/>
    <w:rsid w:val="00A7231E"/>
    <w:rsid w:val="00A7281B"/>
    <w:rsid w:val="00A748CF"/>
    <w:rsid w:val="00A75C50"/>
    <w:rsid w:val="00A81C50"/>
    <w:rsid w:val="00A85B7D"/>
    <w:rsid w:val="00A87604"/>
    <w:rsid w:val="00A923BD"/>
    <w:rsid w:val="00A93D84"/>
    <w:rsid w:val="00A949CC"/>
    <w:rsid w:val="00A968A5"/>
    <w:rsid w:val="00A97200"/>
    <w:rsid w:val="00AA0D20"/>
    <w:rsid w:val="00AA1863"/>
    <w:rsid w:val="00AA19F8"/>
    <w:rsid w:val="00AA2A00"/>
    <w:rsid w:val="00AA6F8F"/>
    <w:rsid w:val="00AB3191"/>
    <w:rsid w:val="00AC073C"/>
    <w:rsid w:val="00AC23E3"/>
    <w:rsid w:val="00AC3DEB"/>
    <w:rsid w:val="00AC4889"/>
    <w:rsid w:val="00AC4BF4"/>
    <w:rsid w:val="00AC5276"/>
    <w:rsid w:val="00AC5944"/>
    <w:rsid w:val="00AC6E2B"/>
    <w:rsid w:val="00AC6E42"/>
    <w:rsid w:val="00AC7B58"/>
    <w:rsid w:val="00AD07B0"/>
    <w:rsid w:val="00AD5F41"/>
    <w:rsid w:val="00AD75F4"/>
    <w:rsid w:val="00AD7D11"/>
    <w:rsid w:val="00AE05F2"/>
    <w:rsid w:val="00AE0CC0"/>
    <w:rsid w:val="00AE0FA3"/>
    <w:rsid w:val="00AE1EBF"/>
    <w:rsid w:val="00AE264E"/>
    <w:rsid w:val="00AE2DB9"/>
    <w:rsid w:val="00AE407A"/>
    <w:rsid w:val="00AE531A"/>
    <w:rsid w:val="00AE61B1"/>
    <w:rsid w:val="00AE61D1"/>
    <w:rsid w:val="00AE6570"/>
    <w:rsid w:val="00AE70AB"/>
    <w:rsid w:val="00AF24D4"/>
    <w:rsid w:val="00AF50C7"/>
    <w:rsid w:val="00AF65C3"/>
    <w:rsid w:val="00AF7217"/>
    <w:rsid w:val="00AF7BFE"/>
    <w:rsid w:val="00B063C9"/>
    <w:rsid w:val="00B15B20"/>
    <w:rsid w:val="00B175FD"/>
    <w:rsid w:val="00B205D6"/>
    <w:rsid w:val="00B224EF"/>
    <w:rsid w:val="00B22D7A"/>
    <w:rsid w:val="00B2706F"/>
    <w:rsid w:val="00B306AB"/>
    <w:rsid w:val="00B31A72"/>
    <w:rsid w:val="00B3561C"/>
    <w:rsid w:val="00B3607D"/>
    <w:rsid w:val="00B37B78"/>
    <w:rsid w:val="00B419A0"/>
    <w:rsid w:val="00B43615"/>
    <w:rsid w:val="00B44DEE"/>
    <w:rsid w:val="00B50F75"/>
    <w:rsid w:val="00B525D1"/>
    <w:rsid w:val="00B52B0E"/>
    <w:rsid w:val="00B54C08"/>
    <w:rsid w:val="00B567CA"/>
    <w:rsid w:val="00B569AA"/>
    <w:rsid w:val="00B57082"/>
    <w:rsid w:val="00B5787A"/>
    <w:rsid w:val="00B60F44"/>
    <w:rsid w:val="00B61317"/>
    <w:rsid w:val="00B62B0C"/>
    <w:rsid w:val="00B643AF"/>
    <w:rsid w:val="00B64701"/>
    <w:rsid w:val="00B6539A"/>
    <w:rsid w:val="00B66BEF"/>
    <w:rsid w:val="00B7150D"/>
    <w:rsid w:val="00B87CC8"/>
    <w:rsid w:val="00B900E4"/>
    <w:rsid w:val="00B90E3E"/>
    <w:rsid w:val="00B91E7F"/>
    <w:rsid w:val="00B927C9"/>
    <w:rsid w:val="00B93852"/>
    <w:rsid w:val="00B9421B"/>
    <w:rsid w:val="00BA2B27"/>
    <w:rsid w:val="00BA309D"/>
    <w:rsid w:val="00BA427B"/>
    <w:rsid w:val="00BA5606"/>
    <w:rsid w:val="00BA7B67"/>
    <w:rsid w:val="00BA7C2A"/>
    <w:rsid w:val="00BB1045"/>
    <w:rsid w:val="00BB5302"/>
    <w:rsid w:val="00BC55B3"/>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2B9D"/>
    <w:rsid w:val="00C0304C"/>
    <w:rsid w:val="00C04097"/>
    <w:rsid w:val="00C04BE4"/>
    <w:rsid w:val="00C05893"/>
    <w:rsid w:val="00C05D5E"/>
    <w:rsid w:val="00C06577"/>
    <w:rsid w:val="00C07758"/>
    <w:rsid w:val="00C07AA9"/>
    <w:rsid w:val="00C104F8"/>
    <w:rsid w:val="00C1098E"/>
    <w:rsid w:val="00C1099C"/>
    <w:rsid w:val="00C13343"/>
    <w:rsid w:val="00C138AE"/>
    <w:rsid w:val="00C144D7"/>
    <w:rsid w:val="00C14EC8"/>
    <w:rsid w:val="00C15847"/>
    <w:rsid w:val="00C15C4E"/>
    <w:rsid w:val="00C16273"/>
    <w:rsid w:val="00C210E1"/>
    <w:rsid w:val="00C220D6"/>
    <w:rsid w:val="00C2456C"/>
    <w:rsid w:val="00C2465A"/>
    <w:rsid w:val="00C24A6F"/>
    <w:rsid w:val="00C24B79"/>
    <w:rsid w:val="00C267BA"/>
    <w:rsid w:val="00C27540"/>
    <w:rsid w:val="00C30747"/>
    <w:rsid w:val="00C32285"/>
    <w:rsid w:val="00C33837"/>
    <w:rsid w:val="00C35B5A"/>
    <w:rsid w:val="00C36620"/>
    <w:rsid w:val="00C4080D"/>
    <w:rsid w:val="00C415EE"/>
    <w:rsid w:val="00C420D3"/>
    <w:rsid w:val="00C435ED"/>
    <w:rsid w:val="00C44260"/>
    <w:rsid w:val="00C469A3"/>
    <w:rsid w:val="00C527C6"/>
    <w:rsid w:val="00C5346B"/>
    <w:rsid w:val="00C56E8E"/>
    <w:rsid w:val="00C60307"/>
    <w:rsid w:val="00C60FB1"/>
    <w:rsid w:val="00C67CAB"/>
    <w:rsid w:val="00C67E52"/>
    <w:rsid w:val="00C70FB6"/>
    <w:rsid w:val="00C71B25"/>
    <w:rsid w:val="00C7483E"/>
    <w:rsid w:val="00C7572C"/>
    <w:rsid w:val="00C76243"/>
    <w:rsid w:val="00C775CA"/>
    <w:rsid w:val="00C77AF8"/>
    <w:rsid w:val="00C80C46"/>
    <w:rsid w:val="00C827BA"/>
    <w:rsid w:val="00C84894"/>
    <w:rsid w:val="00C86CBC"/>
    <w:rsid w:val="00C9044A"/>
    <w:rsid w:val="00C91001"/>
    <w:rsid w:val="00C934ED"/>
    <w:rsid w:val="00CA08B8"/>
    <w:rsid w:val="00CA31B7"/>
    <w:rsid w:val="00CA4E1B"/>
    <w:rsid w:val="00CA5433"/>
    <w:rsid w:val="00CA77E8"/>
    <w:rsid w:val="00CA7A6E"/>
    <w:rsid w:val="00CB25F9"/>
    <w:rsid w:val="00CB58BA"/>
    <w:rsid w:val="00CB62CE"/>
    <w:rsid w:val="00CC049B"/>
    <w:rsid w:val="00CC5731"/>
    <w:rsid w:val="00CC7D2E"/>
    <w:rsid w:val="00CD4C89"/>
    <w:rsid w:val="00CD5011"/>
    <w:rsid w:val="00CD52CF"/>
    <w:rsid w:val="00CE3CB1"/>
    <w:rsid w:val="00CE46EF"/>
    <w:rsid w:val="00CE7E82"/>
    <w:rsid w:val="00CF2F44"/>
    <w:rsid w:val="00CF3ABB"/>
    <w:rsid w:val="00CF50E4"/>
    <w:rsid w:val="00CF6439"/>
    <w:rsid w:val="00D01EDC"/>
    <w:rsid w:val="00D03330"/>
    <w:rsid w:val="00D06B49"/>
    <w:rsid w:val="00D07346"/>
    <w:rsid w:val="00D100E2"/>
    <w:rsid w:val="00D144D6"/>
    <w:rsid w:val="00D1636F"/>
    <w:rsid w:val="00D17780"/>
    <w:rsid w:val="00D17E1F"/>
    <w:rsid w:val="00D17EAB"/>
    <w:rsid w:val="00D224AA"/>
    <w:rsid w:val="00D23929"/>
    <w:rsid w:val="00D23B3E"/>
    <w:rsid w:val="00D27BC8"/>
    <w:rsid w:val="00D35BBE"/>
    <w:rsid w:val="00D42961"/>
    <w:rsid w:val="00D453C3"/>
    <w:rsid w:val="00D46556"/>
    <w:rsid w:val="00D47B7F"/>
    <w:rsid w:val="00D51927"/>
    <w:rsid w:val="00D51AC5"/>
    <w:rsid w:val="00D53826"/>
    <w:rsid w:val="00D53B35"/>
    <w:rsid w:val="00D62613"/>
    <w:rsid w:val="00D64C5F"/>
    <w:rsid w:val="00D7197B"/>
    <w:rsid w:val="00D72046"/>
    <w:rsid w:val="00D7240F"/>
    <w:rsid w:val="00D7361E"/>
    <w:rsid w:val="00D73FC1"/>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2A9C"/>
    <w:rsid w:val="00DA2F74"/>
    <w:rsid w:val="00DA7210"/>
    <w:rsid w:val="00DA759D"/>
    <w:rsid w:val="00DB0C7A"/>
    <w:rsid w:val="00DB1232"/>
    <w:rsid w:val="00DB41B3"/>
    <w:rsid w:val="00DB55FA"/>
    <w:rsid w:val="00DB60E4"/>
    <w:rsid w:val="00DB65CB"/>
    <w:rsid w:val="00DB7090"/>
    <w:rsid w:val="00DB733F"/>
    <w:rsid w:val="00DC1F75"/>
    <w:rsid w:val="00DC449D"/>
    <w:rsid w:val="00DC576A"/>
    <w:rsid w:val="00DC5FC1"/>
    <w:rsid w:val="00DC641B"/>
    <w:rsid w:val="00DC67AE"/>
    <w:rsid w:val="00DC681D"/>
    <w:rsid w:val="00DC79D4"/>
    <w:rsid w:val="00DD0B28"/>
    <w:rsid w:val="00DD19D0"/>
    <w:rsid w:val="00DD3BD3"/>
    <w:rsid w:val="00DD4428"/>
    <w:rsid w:val="00DD4FE3"/>
    <w:rsid w:val="00DD6AB7"/>
    <w:rsid w:val="00DD6C09"/>
    <w:rsid w:val="00DE000D"/>
    <w:rsid w:val="00DE5891"/>
    <w:rsid w:val="00DF6BE4"/>
    <w:rsid w:val="00DF799C"/>
    <w:rsid w:val="00DF7BB3"/>
    <w:rsid w:val="00E03CE4"/>
    <w:rsid w:val="00E04A95"/>
    <w:rsid w:val="00E04BCC"/>
    <w:rsid w:val="00E14DC2"/>
    <w:rsid w:val="00E15268"/>
    <w:rsid w:val="00E20A8F"/>
    <w:rsid w:val="00E21AF2"/>
    <w:rsid w:val="00E22B06"/>
    <w:rsid w:val="00E2388F"/>
    <w:rsid w:val="00E243B7"/>
    <w:rsid w:val="00E3623E"/>
    <w:rsid w:val="00E36E28"/>
    <w:rsid w:val="00E37051"/>
    <w:rsid w:val="00E40A4A"/>
    <w:rsid w:val="00E42BFD"/>
    <w:rsid w:val="00E43488"/>
    <w:rsid w:val="00E43997"/>
    <w:rsid w:val="00E46282"/>
    <w:rsid w:val="00E511B6"/>
    <w:rsid w:val="00E52CBE"/>
    <w:rsid w:val="00E53AE8"/>
    <w:rsid w:val="00E54B9E"/>
    <w:rsid w:val="00E62A3F"/>
    <w:rsid w:val="00E639D3"/>
    <w:rsid w:val="00E67B0A"/>
    <w:rsid w:val="00E74B31"/>
    <w:rsid w:val="00E75DE0"/>
    <w:rsid w:val="00E75F7F"/>
    <w:rsid w:val="00E76E0A"/>
    <w:rsid w:val="00E77EF2"/>
    <w:rsid w:val="00E83134"/>
    <w:rsid w:val="00E84152"/>
    <w:rsid w:val="00E84EE8"/>
    <w:rsid w:val="00E86235"/>
    <w:rsid w:val="00E87698"/>
    <w:rsid w:val="00E93FC5"/>
    <w:rsid w:val="00E9533E"/>
    <w:rsid w:val="00EA0469"/>
    <w:rsid w:val="00EA0832"/>
    <w:rsid w:val="00EA1A05"/>
    <w:rsid w:val="00EA44B7"/>
    <w:rsid w:val="00EA647E"/>
    <w:rsid w:val="00EA65E9"/>
    <w:rsid w:val="00EC011D"/>
    <w:rsid w:val="00EC09BA"/>
    <w:rsid w:val="00EC312C"/>
    <w:rsid w:val="00EC4665"/>
    <w:rsid w:val="00EC4DAA"/>
    <w:rsid w:val="00EC528B"/>
    <w:rsid w:val="00EC7E8D"/>
    <w:rsid w:val="00ED046F"/>
    <w:rsid w:val="00ED0804"/>
    <w:rsid w:val="00ED5243"/>
    <w:rsid w:val="00ED68B5"/>
    <w:rsid w:val="00EE2FA1"/>
    <w:rsid w:val="00EE5273"/>
    <w:rsid w:val="00EE5BF3"/>
    <w:rsid w:val="00EF30B6"/>
    <w:rsid w:val="00EF30F4"/>
    <w:rsid w:val="00EF459F"/>
    <w:rsid w:val="00EF473E"/>
    <w:rsid w:val="00EF4FFE"/>
    <w:rsid w:val="00EF547B"/>
    <w:rsid w:val="00EF577D"/>
    <w:rsid w:val="00EF5CF0"/>
    <w:rsid w:val="00F02BFB"/>
    <w:rsid w:val="00F02DA8"/>
    <w:rsid w:val="00F02DAB"/>
    <w:rsid w:val="00F04699"/>
    <w:rsid w:val="00F0591C"/>
    <w:rsid w:val="00F06562"/>
    <w:rsid w:val="00F06D2E"/>
    <w:rsid w:val="00F06E25"/>
    <w:rsid w:val="00F07237"/>
    <w:rsid w:val="00F07E66"/>
    <w:rsid w:val="00F114D9"/>
    <w:rsid w:val="00F13065"/>
    <w:rsid w:val="00F13DCA"/>
    <w:rsid w:val="00F14226"/>
    <w:rsid w:val="00F14338"/>
    <w:rsid w:val="00F161B1"/>
    <w:rsid w:val="00F20106"/>
    <w:rsid w:val="00F210BB"/>
    <w:rsid w:val="00F23E5A"/>
    <w:rsid w:val="00F24101"/>
    <w:rsid w:val="00F25F98"/>
    <w:rsid w:val="00F30065"/>
    <w:rsid w:val="00F31FC3"/>
    <w:rsid w:val="00F32179"/>
    <w:rsid w:val="00F32B4D"/>
    <w:rsid w:val="00F32E25"/>
    <w:rsid w:val="00F3411B"/>
    <w:rsid w:val="00F424A9"/>
    <w:rsid w:val="00F43199"/>
    <w:rsid w:val="00F43382"/>
    <w:rsid w:val="00F434AE"/>
    <w:rsid w:val="00F443A9"/>
    <w:rsid w:val="00F4442C"/>
    <w:rsid w:val="00F47D69"/>
    <w:rsid w:val="00F51656"/>
    <w:rsid w:val="00F525E4"/>
    <w:rsid w:val="00F54876"/>
    <w:rsid w:val="00F61581"/>
    <w:rsid w:val="00F64517"/>
    <w:rsid w:val="00F6598F"/>
    <w:rsid w:val="00F7008C"/>
    <w:rsid w:val="00F71823"/>
    <w:rsid w:val="00F7279D"/>
    <w:rsid w:val="00F743FF"/>
    <w:rsid w:val="00F76929"/>
    <w:rsid w:val="00F76DB0"/>
    <w:rsid w:val="00F77381"/>
    <w:rsid w:val="00F81693"/>
    <w:rsid w:val="00F83753"/>
    <w:rsid w:val="00F91866"/>
    <w:rsid w:val="00F91BEF"/>
    <w:rsid w:val="00F936C3"/>
    <w:rsid w:val="00FA15BE"/>
    <w:rsid w:val="00FA1B40"/>
    <w:rsid w:val="00FA2EB5"/>
    <w:rsid w:val="00FA3507"/>
    <w:rsid w:val="00FA7F46"/>
    <w:rsid w:val="00FB319B"/>
    <w:rsid w:val="00FB430B"/>
    <w:rsid w:val="00FB5535"/>
    <w:rsid w:val="00FB5E86"/>
    <w:rsid w:val="00FB612E"/>
    <w:rsid w:val="00FC006F"/>
    <w:rsid w:val="00FC1457"/>
    <w:rsid w:val="00FC4C70"/>
    <w:rsid w:val="00FC6E04"/>
    <w:rsid w:val="00FC7E03"/>
    <w:rsid w:val="00FD1803"/>
    <w:rsid w:val="00FD272B"/>
    <w:rsid w:val="00FD348F"/>
    <w:rsid w:val="00FD4392"/>
    <w:rsid w:val="00FD43BB"/>
    <w:rsid w:val="00FD5131"/>
    <w:rsid w:val="00FD7DCA"/>
    <w:rsid w:val="00FE0F30"/>
    <w:rsid w:val="00FF06CC"/>
    <w:rsid w:val="00FF56AB"/>
    <w:rsid w:val="00FF7508"/>
    <w:rsid w:val="05802F92"/>
    <w:rsid w:val="065F4371"/>
    <w:rsid w:val="0A1B7E34"/>
    <w:rsid w:val="0B680DC4"/>
    <w:rsid w:val="0E265444"/>
    <w:rsid w:val="142169B2"/>
    <w:rsid w:val="14443722"/>
    <w:rsid w:val="14B74989"/>
    <w:rsid w:val="18492666"/>
    <w:rsid w:val="1A7C004F"/>
    <w:rsid w:val="1DC24961"/>
    <w:rsid w:val="1F535FF1"/>
    <w:rsid w:val="26C848AF"/>
    <w:rsid w:val="28EB3BF6"/>
    <w:rsid w:val="2A9610ED"/>
    <w:rsid w:val="2BAC66B6"/>
    <w:rsid w:val="2E6F71BF"/>
    <w:rsid w:val="31CB6F94"/>
    <w:rsid w:val="35A1628C"/>
    <w:rsid w:val="39E96B90"/>
    <w:rsid w:val="4743767B"/>
    <w:rsid w:val="48960954"/>
    <w:rsid w:val="4CAF1A5D"/>
    <w:rsid w:val="4F253219"/>
    <w:rsid w:val="51555F7E"/>
    <w:rsid w:val="57B76479"/>
    <w:rsid w:val="58E2665F"/>
    <w:rsid w:val="5DF20031"/>
    <w:rsid w:val="5E1239F0"/>
    <w:rsid w:val="63226E50"/>
    <w:rsid w:val="6522112F"/>
    <w:rsid w:val="653335AF"/>
    <w:rsid w:val="6B6D4417"/>
    <w:rsid w:val="6BC27ED8"/>
    <w:rsid w:val="6C9A5956"/>
    <w:rsid w:val="6E635A2D"/>
    <w:rsid w:val="733046A8"/>
    <w:rsid w:val="73B351D8"/>
    <w:rsid w:val="7B9E7E5E"/>
    <w:rsid w:val="7CA24FAE"/>
    <w:rsid w:val="7E8940A9"/>
    <w:rsid w:val="7FB57F9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99"/>
    <w:pPr>
      <w:keepNext/>
      <w:spacing w:before="240" w:after="60"/>
      <w:outlineLvl w:val="2"/>
    </w:pPr>
    <w:rPr>
      <w:rFonts w:ascii="Cambria" w:hAnsi="Cambria"/>
      <w:b/>
      <w:bCs/>
      <w:sz w:val="26"/>
      <w:szCs w:val="26"/>
      <w:lang w:val="uk-UA"/>
    </w:rPr>
  </w:style>
  <w:style w:type="paragraph" w:styleId="4">
    <w:name w:val="heading 5"/>
    <w:basedOn w:val="1"/>
    <w:next w:val="1"/>
    <w:link w:val="35"/>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qFormat/>
    <w:uiPriority w:val="0"/>
    <w:rPr>
      <w:color w:val="800080" w:themeColor="followedHyperlink"/>
      <w:u w:val="single"/>
      <w14:textFill>
        <w14:solidFill>
          <w14:schemeClr w14:val="folHlink"/>
        </w14:solidFill>
      </w14:textFill>
    </w:rPr>
  </w:style>
  <w:style w:type="character" w:styleId="8">
    <w:name w:val="Emphasis"/>
    <w:basedOn w:val="5"/>
    <w:qFormat/>
    <w:uiPriority w:val="20"/>
    <w:rPr>
      <w:rFonts w:cs="Times New Roman"/>
      <w:i/>
    </w:rPr>
  </w:style>
  <w:style w:type="character" w:styleId="9">
    <w:name w:val="Hyperlink"/>
    <w:basedOn w:val="5"/>
    <w:unhideWhenUsed/>
    <w:qFormat/>
    <w:uiPriority w:val="0"/>
    <w:rPr>
      <w:color w:val="0000FF"/>
      <w:u w:val="single"/>
    </w:rPr>
  </w:style>
  <w:style w:type="character" w:styleId="10">
    <w:name w:val="Strong"/>
    <w:qFormat/>
    <w:uiPriority w:val="22"/>
    <w:rPr>
      <w:b/>
      <w:bCs/>
    </w:rPr>
  </w:style>
  <w:style w:type="paragraph" w:styleId="11">
    <w:name w:val="Balloon Text"/>
    <w:basedOn w:val="1"/>
    <w:link w:val="31"/>
    <w:qFormat/>
    <w:uiPriority w:val="0"/>
    <w:rPr>
      <w:rFonts w:ascii="Tahoma" w:hAnsi="Tahoma" w:cs="Tahoma"/>
      <w:sz w:val="16"/>
      <w:szCs w:val="16"/>
    </w:rPr>
  </w:style>
  <w:style w:type="paragraph" w:styleId="12">
    <w:name w:val="Body Text 2"/>
    <w:basedOn w:val="1"/>
    <w:link w:val="49"/>
    <w:qFormat/>
    <w:uiPriority w:val="0"/>
    <w:pPr>
      <w:spacing w:after="120" w:line="480" w:lineRule="auto"/>
    </w:pPr>
  </w:style>
  <w:style w:type="paragraph" w:styleId="13">
    <w:name w:val="header"/>
    <w:basedOn w:val="1"/>
    <w:link w:val="22"/>
    <w:qFormat/>
    <w:uiPriority w:val="0"/>
    <w:pPr>
      <w:tabs>
        <w:tab w:val="center" w:pos="4819"/>
        <w:tab w:val="right" w:pos="9639"/>
      </w:tabs>
    </w:pPr>
  </w:style>
  <w:style w:type="paragraph" w:styleId="14">
    <w:name w:val="Body Text"/>
    <w:basedOn w:val="1"/>
    <w:link w:val="45"/>
    <w:qFormat/>
    <w:uiPriority w:val="0"/>
    <w:pPr>
      <w:spacing w:after="120"/>
    </w:pPr>
  </w:style>
  <w:style w:type="paragraph" w:styleId="15">
    <w:name w:val="Body Text Indent"/>
    <w:basedOn w:val="1"/>
    <w:link w:val="42"/>
    <w:qFormat/>
    <w:uiPriority w:val="0"/>
    <w:pPr>
      <w:spacing w:after="120"/>
      <w:ind w:left="283"/>
    </w:pPr>
  </w:style>
  <w:style w:type="paragraph" w:styleId="16">
    <w:name w:val="footer"/>
    <w:basedOn w:val="1"/>
    <w:link w:val="23"/>
    <w:qFormat/>
    <w:uiPriority w:val="99"/>
    <w:pPr>
      <w:tabs>
        <w:tab w:val="center" w:pos="4819"/>
        <w:tab w:val="right" w:pos="9639"/>
      </w:tabs>
    </w:pPr>
  </w:style>
  <w:style w:type="paragraph" w:styleId="17">
    <w:name w:val="Normal (Web)"/>
    <w:basedOn w:val="1"/>
    <w:link w:val="24"/>
    <w:qFormat/>
    <w:uiPriority w:val="99"/>
    <w:pPr>
      <w:spacing w:before="150" w:after="150"/>
    </w:pPr>
    <w:rPr>
      <w:szCs w:val="20"/>
    </w:rPr>
  </w:style>
  <w:style w:type="paragraph" w:styleId="18">
    <w:name w:val="Body Text Indent 2"/>
    <w:basedOn w:val="1"/>
    <w:link w:val="25"/>
    <w:semiHidden/>
    <w:qFormat/>
    <w:uiPriority w:val="0"/>
    <w:pPr>
      <w:spacing w:after="120" w:line="480" w:lineRule="auto"/>
      <w:ind w:left="283"/>
    </w:pPr>
    <w:rPr>
      <w:rFonts w:ascii="Calibri" w:hAnsi="Calibri"/>
      <w:sz w:val="22"/>
      <w:szCs w:val="22"/>
      <w:lang w:eastAsia="en-US"/>
    </w:rPr>
  </w:style>
  <w:style w:type="paragraph" w:styleId="19">
    <w:name w:val="List 2"/>
    <w:basedOn w:val="1"/>
    <w:qFormat/>
    <w:uiPriority w:val="99"/>
    <w:pPr>
      <w:ind w:left="566" w:hanging="283"/>
    </w:pPr>
    <w:rPr>
      <w:sz w:val="22"/>
      <w:szCs w:val="20"/>
      <w:lang w:val="uk-UA"/>
    </w:rPr>
  </w:style>
  <w:style w:type="paragraph" w:styleId="20">
    <w:name w:val="HTML Preformatted"/>
    <w:basedOn w:val="1"/>
    <w:link w:val="3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21">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Верхний колонтитул Знак"/>
    <w:link w:val="13"/>
    <w:qFormat/>
    <w:uiPriority w:val="0"/>
    <w:rPr>
      <w:sz w:val="24"/>
      <w:szCs w:val="24"/>
    </w:rPr>
  </w:style>
  <w:style w:type="character" w:customStyle="1" w:styleId="23">
    <w:name w:val="Нижний колонтитул Знак"/>
    <w:link w:val="16"/>
    <w:qFormat/>
    <w:uiPriority w:val="99"/>
    <w:rPr>
      <w:sz w:val="24"/>
      <w:szCs w:val="24"/>
    </w:rPr>
  </w:style>
  <w:style w:type="character" w:customStyle="1" w:styleId="24">
    <w:name w:val="Обычный (Интернет) Знак"/>
    <w:link w:val="17"/>
    <w:qFormat/>
    <w:locked/>
    <w:uiPriority w:val="0"/>
    <w:rPr>
      <w:sz w:val="24"/>
      <w:lang w:eastAsia="ru-RU" w:bidi="ar-SA"/>
    </w:rPr>
  </w:style>
  <w:style w:type="character" w:customStyle="1" w:styleId="25">
    <w:name w:val="Основной текст с отступом 2 Знак"/>
    <w:basedOn w:val="5"/>
    <w:link w:val="18"/>
    <w:semiHidden/>
    <w:qFormat/>
    <w:locked/>
    <w:uiPriority w:val="0"/>
    <w:rPr>
      <w:rFonts w:ascii="Calibri" w:hAnsi="Calibri"/>
      <w:sz w:val="22"/>
      <w:szCs w:val="22"/>
      <w:lang w:val="ru-RU" w:eastAsia="en-US" w:bidi="ar-SA"/>
    </w:rPr>
  </w:style>
  <w:style w:type="character" w:customStyle="1" w:styleId="26">
    <w:name w:val="apple-converted-space"/>
    <w:basedOn w:val="5"/>
    <w:qFormat/>
    <w:uiPriority w:val="0"/>
  </w:style>
  <w:style w:type="paragraph" w:customStyle="1" w:styleId="27">
    <w:name w:val="Знак"/>
    <w:basedOn w:val="1"/>
    <w:qFormat/>
    <w:uiPriority w:val="0"/>
    <w:rPr>
      <w:rFonts w:ascii="Verdana" w:hAnsi="Verdana" w:cs="Verdana"/>
      <w:sz w:val="20"/>
      <w:szCs w:val="20"/>
      <w:lang w:val="en-US" w:eastAsia="en-US"/>
    </w:rPr>
  </w:style>
  <w:style w:type="paragraph" w:customStyle="1" w:styleId="28">
    <w:name w:val="Абзац списка1"/>
    <w:basedOn w:val="1"/>
    <w:qFormat/>
    <w:uiPriority w:val="99"/>
    <w:pPr>
      <w:suppressAutoHyphens/>
      <w:spacing w:after="200" w:line="276" w:lineRule="auto"/>
      <w:ind w:left="720"/>
    </w:pPr>
    <w:rPr>
      <w:rFonts w:ascii="Calibri" w:hAnsi="Calibri"/>
      <w:kern w:val="1"/>
      <w:sz w:val="22"/>
      <w:szCs w:val="22"/>
      <w:lang w:val="uk-UA" w:eastAsia="ar-SA"/>
    </w:rPr>
  </w:style>
  <w:style w:type="character" w:customStyle="1" w:styleId="29">
    <w:name w:val="Заголовок 3 Знак"/>
    <w:basedOn w:val="5"/>
    <w:link w:val="3"/>
    <w:qFormat/>
    <w:uiPriority w:val="99"/>
    <w:rPr>
      <w:rFonts w:ascii="Cambria" w:hAnsi="Cambria"/>
      <w:b/>
      <w:bCs/>
      <w:sz w:val="26"/>
      <w:szCs w:val="26"/>
      <w:lang w:val="uk-UA"/>
    </w:rPr>
  </w:style>
  <w:style w:type="character" w:customStyle="1" w:styleId="30">
    <w:name w:val="Стандартный HTML Знак"/>
    <w:basedOn w:val="5"/>
    <w:link w:val="20"/>
    <w:qFormat/>
    <w:uiPriority w:val="0"/>
    <w:rPr>
      <w:rFonts w:ascii="Courier New" w:hAnsi="Courier New" w:cs="Courier New"/>
    </w:rPr>
  </w:style>
  <w:style w:type="character" w:customStyle="1" w:styleId="31">
    <w:name w:val="Текст выноски Знак"/>
    <w:basedOn w:val="5"/>
    <w:link w:val="11"/>
    <w:qFormat/>
    <w:uiPriority w:val="0"/>
    <w:rPr>
      <w:rFonts w:ascii="Tahoma" w:hAnsi="Tahoma" w:cs="Tahoma"/>
      <w:sz w:val="16"/>
      <w:szCs w:val="16"/>
    </w:rPr>
  </w:style>
  <w:style w:type="character" w:customStyle="1" w:styleId="32">
    <w:name w:val="Основной текст (2)_"/>
    <w:basedOn w:val="5"/>
    <w:link w:val="33"/>
    <w:locked/>
    <w:uiPriority w:val="0"/>
    <w:rPr>
      <w:sz w:val="22"/>
      <w:szCs w:val="22"/>
      <w:shd w:val="clear" w:color="auto" w:fill="FFFFFF"/>
    </w:rPr>
  </w:style>
  <w:style w:type="paragraph" w:customStyle="1" w:styleId="33">
    <w:name w:val="Основной текст (2)"/>
    <w:basedOn w:val="1"/>
    <w:link w:val="32"/>
    <w:qFormat/>
    <w:uiPriority w:val="0"/>
    <w:pPr>
      <w:widowControl w:val="0"/>
      <w:shd w:val="clear" w:color="auto" w:fill="FFFFFF"/>
      <w:spacing w:line="274" w:lineRule="exact"/>
      <w:jc w:val="both"/>
    </w:pPr>
    <w:rPr>
      <w:sz w:val="22"/>
      <w:szCs w:val="22"/>
    </w:rPr>
  </w:style>
  <w:style w:type="paragraph" w:styleId="34">
    <w:name w:val="List Paragraph"/>
    <w:basedOn w:val="1"/>
    <w:link w:val="48"/>
    <w:qFormat/>
    <w:uiPriority w:val="99"/>
    <w:pPr>
      <w:ind w:left="720"/>
      <w:contextualSpacing/>
    </w:pPr>
  </w:style>
  <w:style w:type="character" w:customStyle="1" w:styleId="35">
    <w:name w:val="Заголовок 5 Знак"/>
    <w:basedOn w:val="5"/>
    <w:link w:val="4"/>
    <w:semiHidden/>
    <w:qFormat/>
    <w:uiPriority w:val="0"/>
    <w:rPr>
      <w:rFonts w:asciiTheme="majorHAnsi" w:hAnsiTheme="majorHAnsi" w:eastAsiaTheme="majorEastAsia" w:cstheme="majorBidi"/>
      <w:color w:val="254061" w:themeColor="accent1" w:themeShade="80"/>
      <w:sz w:val="24"/>
      <w:szCs w:val="24"/>
    </w:rPr>
  </w:style>
  <w:style w:type="paragraph" w:customStyle="1" w:styleId="36">
    <w:name w:val="WW-Основной текст с отступом 2"/>
    <w:basedOn w:val="1"/>
    <w:qFormat/>
    <w:uiPriority w:val="0"/>
    <w:pPr>
      <w:suppressAutoHyphens/>
      <w:ind w:firstLine="709"/>
    </w:pPr>
    <w:rPr>
      <w:szCs w:val="20"/>
      <w:lang w:eastAsia="ar-SA"/>
    </w:rPr>
  </w:style>
  <w:style w:type="paragraph" w:customStyle="1" w:styleId="37">
    <w:name w:val="Основной текст с отступом 21"/>
    <w:basedOn w:val="1"/>
    <w:qFormat/>
    <w:uiPriority w:val="0"/>
    <w:pPr>
      <w:suppressAutoHyphens/>
      <w:spacing w:after="120" w:line="480" w:lineRule="auto"/>
      <w:ind w:left="283"/>
    </w:pPr>
    <w:rPr>
      <w:szCs w:val="20"/>
      <w:lang w:eastAsia="ar-SA"/>
    </w:rPr>
  </w:style>
  <w:style w:type="paragraph" w:customStyle="1" w:styleId="38">
    <w:name w:val="Основной текст 32"/>
    <w:basedOn w:val="1"/>
    <w:qFormat/>
    <w:uiPriority w:val="0"/>
    <w:pPr>
      <w:suppressAutoHyphens/>
      <w:spacing w:after="120"/>
    </w:pPr>
    <w:rPr>
      <w:sz w:val="16"/>
      <w:szCs w:val="16"/>
      <w:lang w:eastAsia="ar-SA"/>
    </w:rPr>
  </w:style>
  <w:style w:type="paragraph" w:customStyle="1" w:styleId="39">
    <w:name w:val="Основной текст 31"/>
    <w:basedOn w:val="1"/>
    <w:qFormat/>
    <w:uiPriority w:val="0"/>
    <w:pPr>
      <w:suppressAutoHyphens/>
      <w:spacing w:after="120"/>
    </w:pPr>
    <w:rPr>
      <w:sz w:val="16"/>
      <w:szCs w:val="16"/>
      <w:lang w:eastAsia="ar-SA"/>
    </w:rPr>
  </w:style>
  <w:style w:type="paragraph" w:customStyle="1" w:styleId="40">
    <w:name w:val="rvps2"/>
    <w:basedOn w:val="1"/>
    <w:qFormat/>
    <w:uiPriority w:val="0"/>
    <w:pPr>
      <w:spacing w:before="100" w:beforeAutospacing="1" w:after="100" w:afterAutospacing="1"/>
    </w:pPr>
  </w:style>
  <w:style w:type="paragraph" w:customStyle="1" w:styleId="41">
    <w:name w:val="2"/>
    <w:basedOn w:val="1"/>
    <w:qFormat/>
    <w:uiPriority w:val="0"/>
    <w:rPr>
      <w:rFonts w:ascii="Verdana" w:hAnsi="Verdana" w:cs="Verdana"/>
      <w:lang w:val="en-US" w:eastAsia="en-US"/>
    </w:rPr>
  </w:style>
  <w:style w:type="character" w:customStyle="1" w:styleId="42">
    <w:name w:val="Основной текст с отступом Знак"/>
    <w:basedOn w:val="5"/>
    <w:link w:val="15"/>
    <w:qFormat/>
    <w:uiPriority w:val="0"/>
    <w:rPr>
      <w:sz w:val="24"/>
      <w:szCs w:val="24"/>
    </w:rPr>
  </w:style>
  <w:style w:type="paragraph" w:customStyle="1" w:styleId="43">
    <w:name w:val="Обычный1"/>
    <w:qFormat/>
    <w:uiPriority w:val="0"/>
    <w:pPr>
      <w:spacing w:line="276" w:lineRule="auto"/>
    </w:pPr>
    <w:rPr>
      <w:rFonts w:ascii="Arial" w:hAnsi="Arial" w:eastAsia="Arial" w:cs="Arial"/>
      <w:color w:val="000000"/>
      <w:sz w:val="22"/>
      <w:lang w:val="ru-RU" w:eastAsia="ru-RU" w:bidi="ar-SA"/>
    </w:rPr>
  </w:style>
  <w:style w:type="paragraph" w:customStyle="1" w:styleId="44">
    <w:name w:val="List Paragraph11"/>
    <w:basedOn w:val="1"/>
    <w:uiPriority w:val="99"/>
    <w:pPr>
      <w:suppressAutoHyphens/>
      <w:ind w:left="720"/>
    </w:pPr>
    <w:rPr>
      <w:rFonts w:ascii="Times New Roman CYR" w:hAnsi="Times New Roman CYR" w:cs="Times New Roman CYR"/>
      <w:lang w:eastAsia="ar-SA"/>
    </w:rPr>
  </w:style>
  <w:style w:type="character" w:customStyle="1" w:styleId="45">
    <w:name w:val="Основной текст Знак"/>
    <w:basedOn w:val="5"/>
    <w:link w:val="14"/>
    <w:qFormat/>
    <w:uiPriority w:val="0"/>
    <w:rPr>
      <w:sz w:val="24"/>
      <w:szCs w:val="24"/>
    </w:rPr>
  </w:style>
  <w:style w:type="paragraph" w:customStyle="1" w:styleId="46">
    <w:name w:val="Char Знак Знак Char Знак"/>
    <w:basedOn w:val="1"/>
    <w:qFormat/>
    <w:uiPriority w:val="0"/>
    <w:rPr>
      <w:rFonts w:ascii="Verdana" w:hAnsi="Verdana" w:cs="Verdana"/>
      <w:sz w:val="20"/>
      <w:szCs w:val="20"/>
      <w:lang w:val="en-US" w:eastAsia="en-US"/>
    </w:rPr>
  </w:style>
  <w:style w:type="paragraph" w:customStyle="1" w:styleId="47">
    <w:name w:val="Обычный2"/>
    <w:qFormat/>
    <w:uiPriority w:val="0"/>
    <w:pPr>
      <w:spacing w:line="276" w:lineRule="auto"/>
    </w:pPr>
    <w:rPr>
      <w:rFonts w:ascii="Arial" w:hAnsi="Arial" w:eastAsia="Arial" w:cs="Arial"/>
      <w:color w:val="000000"/>
      <w:sz w:val="22"/>
      <w:szCs w:val="22"/>
      <w:lang w:val="ru-RU" w:eastAsia="ru-RU" w:bidi="ar-SA"/>
    </w:rPr>
  </w:style>
  <w:style w:type="character" w:customStyle="1" w:styleId="48">
    <w:name w:val="Абзац списка Знак"/>
    <w:link w:val="34"/>
    <w:qFormat/>
    <w:locked/>
    <w:uiPriority w:val="34"/>
    <w:rPr>
      <w:sz w:val="24"/>
      <w:szCs w:val="24"/>
    </w:rPr>
  </w:style>
  <w:style w:type="character" w:customStyle="1" w:styleId="49">
    <w:name w:val="Основной текст 2 Знак"/>
    <w:basedOn w:val="5"/>
    <w:link w:val="12"/>
    <w:qFormat/>
    <w:uiPriority w:val="0"/>
    <w:rPr>
      <w:sz w:val="24"/>
      <w:szCs w:val="24"/>
    </w:rPr>
  </w:style>
  <w:style w:type="paragraph" w:customStyle="1" w:styleId="50">
    <w:name w:val="Знак1"/>
    <w:basedOn w:val="1"/>
    <w:qFormat/>
    <w:uiPriority w:val="0"/>
    <w:rPr>
      <w:rFonts w:ascii="Verdana" w:hAnsi="Verdana" w:cs="Verdana"/>
      <w:sz w:val="20"/>
      <w:szCs w:val="20"/>
      <w:lang w:val="en-US" w:eastAsia="en-US"/>
    </w:rPr>
  </w:style>
  <w:style w:type="character" w:customStyle="1" w:styleId="51">
    <w:name w:val="Заголовок 1 Знак"/>
    <w:basedOn w:val="5"/>
    <w:link w:val="2"/>
    <w:qFormat/>
    <w:uiPriority w:val="0"/>
    <w:rPr>
      <w:rFonts w:asciiTheme="majorHAnsi" w:hAnsiTheme="majorHAnsi" w:eastAsiaTheme="majorEastAsia" w:cstheme="majorBidi"/>
      <w:b/>
      <w:bCs/>
      <w:color w:val="376092" w:themeColor="accent1" w:themeShade="BF"/>
      <w:sz w:val="28"/>
      <w:szCs w:val="28"/>
    </w:rPr>
  </w:style>
  <w:style w:type="paragraph" w:customStyle="1" w:styleId="52">
    <w:name w:val="Обычный (веб)1"/>
    <w:basedOn w:val="1"/>
    <w:qFormat/>
    <w:uiPriority w:val="0"/>
    <w:pPr>
      <w:widowControl w:val="0"/>
      <w:suppressAutoHyphens/>
      <w:spacing w:before="150"/>
      <w:jc w:val="both"/>
    </w:pPr>
    <w:rPr>
      <w:rFonts w:ascii="Helvetica" w:hAnsi="Helvetica" w:eastAsia="Lucida Sans Unicode"/>
      <w:color w:val="000044"/>
      <w:kern w:val="2"/>
      <w:sz w:val="20"/>
      <w:szCs w:val="20"/>
      <w:lang w:val="uk-UA" w:eastAsia="zh-CN" w:bidi="en-US"/>
    </w:rPr>
  </w:style>
  <w:style w:type="character" w:customStyle="1" w:styleId="53">
    <w:name w:val="h-vertical-middle"/>
    <w:basedOn w:val="5"/>
    <w:qFormat/>
    <w:uiPriority w:val="0"/>
  </w:style>
  <w:style w:type="paragraph" w:customStyle="1" w:styleId="54">
    <w:name w:val="Обычный3"/>
    <w:qFormat/>
    <w:uiPriority w:val="0"/>
    <w:pPr>
      <w:spacing w:line="276" w:lineRule="auto"/>
    </w:pPr>
    <w:rPr>
      <w:rFonts w:ascii="Arial" w:hAnsi="Arial" w:eastAsia="Arial" w:cs="Arial"/>
      <w:color w:val="000000"/>
      <w:sz w:val="22"/>
      <w:szCs w:val="22"/>
      <w:lang w:val="ru-RU" w:eastAsia="ru-RU" w:bidi="ar-SA"/>
    </w:rPr>
  </w:style>
  <w:style w:type="paragraph" w:styleId="55">
    <w:name w:val="No Spacing"/>
    <w:link w:val="56"/>
    <w:qFormat/>
    <w:uiPriority w:val="1"/>
    <w:pPr>
      <w:suppressAutoHyphens/>
    </w:pPr>
    <w:rPr>
      <w:rFonts w:ascii="Calibri" w:hAnsi="Calibri" w:eastAsia="Calibri" w:cs="Times New Roman"/>
      <w:sz w:val="22"/>
      <w:szCs w:val="22"/>
      <w:lang w:val="ru-RU" w:eastAsia="ar-SA" w:bidi="ar-SA"/>
    </w:rPr>
  </w:style>
  <w:style w:type="character" w:customStyle="1" w:styleId="56">
    <w:name w:val="Без интервала Знак"/>
    <w:link w:val="55"/>
    <w:qFormat/>
    <w:uiPriority w:val="1"/>
    <w:rPr>
      <w:rFonts w:ascii="Calibri" w:hAnsi="Calibri" w:eastAsia="Calibri"/>
      <w:sz w:val="22"/>
      <w:szCs w:val="22"/>
      <w:lang w:eastAsia="ar-SA"/>
    </w:rPr>
  </w:style>
  <w:style w:type="character" w:customStyle="1" w:styleId="57">
    <w:name w:val="Обычный (веб) Знак1"/>
    <w:qFormat/>
    <w:locked/>
    <w:uiPriority w:val="99"/>
    <w:rPr>
      <w:rFonts w:ascii="Times New Roman" w:hAnsi="Times New Roman" w:eastAsia="SimSun" w:cs="Times New Roman"/>
      <w:sz w:val="24"/>
      <w:szCs w:val="24"/>
      <w:lang w:eastAsia="zh-CN"/>
    </w:rPr>
  </w:style>
  <w:style w:type="paragraph" w:customStyle="1" w:styleId="58">
    <w:name w:val="List Paragraph1"/>
    <w:basedOn w:val="1"/>
    <w:qFormat/>
    <w:uiPriority w:val="0"/>
    <w:pPr>
      <w:suppressAutoHyphens/>
      <w:ind w:left="720"/>
    </w:pPr>
    <w:rPr>
      <w:lang w:eastAsia="ar-SA"/>
    </w:rPr>
  </w:style>
  <w:style w:type="paragraph" w:customStyle="1" w:styleId="59">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60">
    <w:name w:val="Знак2"/>
    <w:basedOn w:val="1"/>
    <w:qFormat/>
    <w:uiPriority w:val="0"/>
    <w:rPr>
      <w:rFonts w:ascii="Verdana" w:hAnsi="Verdana" w:cs="Verdana"/>
      <w:sz w:val="20"/>
      <w:szCs w:val="20"/>
      <w:lang w:val="en-US" w:eastAsia="en-US"/>
    </w:rPr>
  </w:style>
  <w:style w:type="paragraph" w:customStyle="1" w:styleId="61">
    <w:name w:val="Содержимое таблицы"/>
    <w:basedOn w:val="1"/>
    <w:qFormat/>
    <w:uiPriority w:val="99"/>
    <w:pPr>
      <w:suppressLineNumbers/>
      <w:suppressAutoHyphens/>
    </w:pPr>
    <w:rPr>
      <w:sz w:val="20"/>
      <w:szCs w:val="20"/>
      <w:lang w:eastAsia="ar-SA"/>
    </w:rPr>
  </w:style>
  <w:style w:type="character" w:customStyle="1" w:styleId="62">
    <w:name w:val="Основной текст (2) Exact"/>
    <w:basedOn w:val="5"/>
    <w:qFormat/>
    <w:uiPriority w:val="0"/>
    <w:rPr>
      <w:rFonts w:hint="default" w:ascii="Times New Roman" w:hAnsi="Times New Roman" w:eastAsia="Times New Roman" w:cs="Times New Roman"/>
      <w:sz w:val="20"/>
      <w:szCs w:val="20"/>
      <w:u w:val="none"/>
    </w:rPr>
  </w:style>
  <w:style w:type="character" w:customStyle="1" w:styleId="63">
    <w:name w:val="Основной текст (2) + Полужирный Exact"/>
    <w:basedOn w:val="32"/>
    <w:qFormat/>
    <w:uiPriority w:val="0"/>
    <w:rPr>
      <w:b/>
      <w:bCs/>
      <w:color w:val="000000"/>
      <w:spacing w:val="0"/>
      <w:w w:val="100"/>
      <w:position w:val="0"/>
      <w:sz w:val="22"/>
      <w:szCs w:val="22"/>
      <w:shd w:val="clear" w:color="auto" w:fill="FFFFFF"/>
      <w:lang w:val="uk-UA" w:eastAsia="uk-UA" w:bidi="uk-UA"/>
    </w:rPr>
  </w:style>
  <w:style w:type="table" w:customStyle="1" w:styleId="64">
    <w:name w:val="TableGrid"/>
    <w:qFormat/>
    <w:uiPriority w:val="0"/>
    <w:rPr>
      <w:rFonts w:asciiTheme="minorHAnsi" w:hAnsiTheme="minorHAnsi" w:eastAsiaTheme="minorEastAsia" w:cstheme="minorBidi"/>
    </w:rPr>
    <w:tblPr>
      <w:tblCellMar>
        <w:top w:w="0" w:type="dxa"/>
        <w:left w:w="0" w:type="dxa"/>
        <w:bottom w:w="0" w:type="dxa"/>
        <w:right w:w="0" w:type="dxa"/>
      </w:tblCellMar>
    </w:tblPr>
  </w:style>
  <w:style w:type="table" w:customStyle="1" w:styleId="65">
    <w:name w:val="_Style 10"/>
    <w:basedOn w:val="66"/>
    <w:qFormat/>
    <w:uiPriority w:val="0"/>
    <w:tblPr>
      <w:tblCellMar>
        <w:top w:w="0" w:type="dxa"/>
        <w:left w:w="115" w:type="dxa"/>
        <w:bottom w:w="0" w:type="dxa"/>
        <w:right w:w="115" w:type="dxa"/>
      </w:tblCellMar>
    </w:tblPr>
  </w:style>
  <w:style w:type="table" w:customStyle="1" w:styleId="66">
    <w:name w:val="Table Normal"/>
    <w:qFormat/>
    <w:uiPriority w:val="0"/>
    <w:tblPr>
      <w:tblCellMar>
        <w:top w:w="0" w:type="dxa"/>
        <w:left w:w="0" w:type="dxa"/>
        <w:bottom w:w="0" w:type="dxa"/>
        <w:right w:w="0" w:type="dxa"/>
      </w:tblCellMar>
    </w:tblPr>
  </w:style>
  <w:style w:type="table" w:customStyle="1" w:styleId="67">
    <w:name w:val="_Style 11"/>
    <w:basedOn w:val="66"/>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9582-A363-4D3E-A727-5FF93CFA51FC}">
  <ds:schemaRefs/>
</ds:datastoreItem>
</file>

<file path=docProps/app.xml><?xml version="1.0" encoding="utf-8"?>
<Properties xmlns="http://schemas.openxmlformats.org/officeDocument/2006/extended-properties" xmlns:vt="http://schemas.openxmlformats.org/officeDocument/2006/docPropsVTypes">
  <Template>Normal.dotm</Template>
  <Company>RePack by SPecialiST</Company>
  <Pages>4</Pages>
  <Words>1532</Words>
  <Characters>8738</Characters>
  <Lines>72</Lines>
  <Paragraphs>20</Paragraphs>
  <TotalTime>57</TotalTime>
  <ScaleCrop>false</ScaleCrop>
  <LinksUpToDate>false</LinksUpToDate>
  <CharactersWithSpaces>10250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2023-05-12T12:06:00Z</dcterms:created>
  <dc:creator>USER</dc:creator>
  <cp:lastModifiedBy>Spec-Zak</cp:lastModifiedBy>
  <cp:lastPrinted>2022-09-23T09:56:00Z</cp:lastPrinted>
  <dcterms:modified xsi:type="dcterms:W3CDTF">2023-05-17T07:30:58Z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0B60D5BD2BDA4C93AB5E1F07E1BCA0C6</vt:lpwstr>
  </property>
</Properties>
</file>