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0D5AF052"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B064BA">
        <w:rPr>
          <w:rFonts w:ascii="Times New Roman" w:hAnsi="Times New Roman" w:cs="Times New Roman"/>
          <w:b/>
          <w:sz w:val="28"/>
          <w:szCs w:val="28"/>
          <w:lang w:val="uk-UA"/>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44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10055" w:type="dxa"/>
        <w:tblCellMar>
          <w:top w:w="15" w:type="dxa"/>
          <w:left w:w="15" w:type="dxa"/>
          <w:bottom w:w="15" w:type="dxa"/>
          <w:right w:w="15" w:type="dxa"/>
        </w:tblCellMar>
        <w:tblLook w:val="04A0" w:firstRow="1" w:lastRow="0" w:firstColumn="1" w:lastColumn="0" w:noHBand="0" w:noVBand="1"/>
      </w:tblPr>
      <w:tblGrid>
        <w:gridCol w:w="544"/>
        <w:gridCol w:w="2870"/>
        <w:gridCol w:w="6641"/>
      </w:tblGrid>
      <w:tr w:rsidR="004E3D9A" w:rsidRPr="00760C3F" w14:paraId="58C8A09D" w14:textId="77777777" w:rsidTr="00CE056A">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B6352C" w:rsidRPr="00760C3F" w14:paraId="4C648A28" w14:textId="77777777" w:rsidTr="00F21CE2">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80970" w14:textId="3DFB69CB" w:rsidR="00B6352C" w:rsidRPr="00760C3F" w:rsidRDefault="00B6352C" w:rsidP="00B6352C">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1.</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65933" w14:textId="77777777" w:rsidR="00B6352C" w:rsidRPr="00AE5D57" w:rsidRDefault="00B6352C" w:rsidP="00B6352C">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14:paraId="604EEEDE" w14:textId="0168EC2C" w:rsidR="00B6352C" w:rsidRPr="00760C3F" w:rsidRDefault="00B6352C" w:rsidP="00B6352C">
            <w:pPr>
              <w:spacing w:after="0" w:line="240" w:lineRule="auto"/>
              <w:jc w:val="center"/>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i/>
                <w:iCs/>
                <w:color w:val="000000"/>
                <w:sz w:val="24"/>
                <w:szCs w:val="24"/>
                <w:lang w:val="uk-UA" w:eastAsia="ru-RU"/>
              </w:rPr>
              <w:t xml:space="preserve">* </w:t>
            </w:r>
            <w:r w:rsidRPr="00AE5D57">
              <w:rPr>
                <w:rFonts w:ascii="Times New Roman" w:eastAsia="Times New Roman" w:hAnsi="Times New Roman" w:cs="Times New Roman"/>
                <w:i/>
                <w:iCs/>
                <w:color w:val="000000"/>
                <w:sz w:val="20"/>
                <w:szCs w:val="20"/>
                <w:lang w:val="uk-UA"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9042A" w14:textId="77777777" w:rsidR="00B6352C" w:rsidRPr="002652C4" w:rsidRDefault="00B6352C" w:rsidP="00B6352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Довідки в довільній формі, в яких</w:t>
            </w:r>
            <w:r w:rsidRPr="002652C4">
              <w:rPr>
                <w:rFonts w:ascii="Times New Roman" w:eastAsia="Times New Roman" w:hAnsi="Times New Roman" w:cs="Times New Roman"/>
                <w:color w:val="000000"/>
                <w:sz w:val="24"/>
                <w:szCs w:val="24"/>
                <w:lang w:val="uk-UA" w:eastAsia="ru-RU"/>
              </w:rPr>
              <w:t xml:space="preserve"> зазначається наступна інформація:</w:t>
            </w:r>
          </w:p>
          <w:p w14:paraId="7361913A" w14:textId="479ACFEC" w:rsidR="00B6352C" w:rsidRDefault="00B6352C" w:rsidP="00B6352C">
            <w:pPr>
              <w:spacing w:after="0" w:line="240" w:lineRule="auto"/>
              <w:ind w:left="132" w:right="130"/>
              <w:contextualSpacing/>
              <w:jc w:val="both"/>
              <w:rPr>
                <w:rFonts w:ascii="Times New Roman" w:hAnsi="Times New Roman" w:cs="Times New Roman"/>
                <w:iCs/>
                <w:lang w:val="uk-UA"/>
              </w:rPr>
            </w:pPr>
            <w:r w:rsidRPr="002652C4">
              <w:rPr>
                <w:rFonts w:ascii="Times New Roman" w:eastAsia="Times New Roman" w:hAnsi="Times New Roman" w:cs="Times New Roman"/>
                <w:color w:val="000000"/>
                <w:sz w:val="24"/>
                <w:szCs w:val="24"/>
                <w:lang w:val="uk-UA" w:eastAsia="ru-RU"/>
              </w:rPr>
              <w:t xml:space="preserve">- </w:t>
            </w:r>
            <w:r w:rsidRPr="002652C4">
              <w:rPr>
                <w:rFonts w:ascii="Times New Roman" w:hAnsi="Times New Roman" w:cs="Times New Roman"/>
                <w:iCs/>
                <w:lang w:val="uk-UA"/>
              </w:rPr>
              <w:t>Інформаційну довідку в довільній формі про наявність в учасника обладнання та матеріально-технічної бази, необхідних для виконання умов договору, при цьому повинна бути  відповідна кількість контейнерів відповідного о</w:t>
            </w:r>
            <w:r>
              <w:rPr>
                <w:rFonts w:ascii="Times New Roman" w:hAnsi="Times New Roman" w:cs="Times New Roman"/>
                <w:iCs/>
                <w:lang w:val="uk-UA"/>
              </w:rPr>
              <w:t>б’єму (1,1м.куб.- не менше 2</w:t>
            </w:r>
            <w:r>
              <w:rPr>
                <w:rFonts w:ascii="Times New Roman" w:hAnsi="Times New Roman" w:cs="Times New Roman"/>
                <w:iCs/>
                <w:lang w:val="uk-UA"/>
              </w:rPr>
              <w:t>2</w:t>
            </w:r>
            <w:r>
              <w:rPr>
                <w:rFonts w:ascii="Times New Roman" w:hAnsi="Times New Roman" w:cs="Times New Roman"/>
                <w:iCs/>
                <w:lang w:val="uk-UA"/>
              </w:rPr>
              <w:t xml:space="preserve"> шт</w:t>
            </w:r>
            <w:r w:rsidRPr="000E6883">
              <w:rPr>
                <w:rFonts w:ascii="Times New Roman" w:hAnsi="Times New Roman" w:cs="Times New Roman"/>
                <w:iCs/>
                <w:lang w:val="uk-UA"/>
              </w:rPr>
              <w:t>.</w:t>
            </w:r>
            <w:r w:rsidRPr="002652C4">
              <w:rPr>
                <w:rFonts w:ascii="Times New Roman" w:hAnsi="Times New Roman" w:cs="Times New Roman"/>
                <w:iCs/>
                <w:lang w:val="uk-UA"/>
              </w:rPr>
              <w:t xml:space="preserve">). </w:t>
            </w:r>
          </w:p>
          <w:p w14:paraId="010D5ED7" w14:textId="77777777" w:rsidR="00B6352C" w:rsidRPr="002652C4" w:rsidRDefault="00B6352C" w:rsidP="00B6352C">
            <w:pPr>
              <w:spacing w:after="0" w:line="240" w:lineRule="auto"/>
              <w:ind w:left="132" w:right="130"/>
              <w:contextualSpacing/>
              <w:jc w:val="both"/>
              <w:rPr>
                <w:rFonts w:ascii="Times New Roman" w:hAnsi="Times New Roman" w:cs="Times New Roman"/>
                <w:lang w:val="uk-UA"/>
              </w:rPr>
            </w:pPr>
            <w:r>
              <w:rPr>
                <w:rFonts w:ascii="Times New Roman" w:hAnsi="Times New Roman" w:cs="Times New Roman"/>
                <w:iCs/>
                <w:lang w:val="uk-UA"/>
              </w:rPr>
              <w:t xml:space="preserve">- </w:t>
            </w:r>
            <w:r w:rsidRPr="002652C4">
              <w:rPr>
                <w:rFonts w:ascii="Times New Roman" w:hAnsi="Times New Roman" w:cs="Times New Roman"/>
                <w:iCs/>
                <w:lang w:val="uk-UA"/>
              </w:rPr>
              <w:t>Інформаційну довідку в довільній формі про</w:t>
            </w:r>
            <w:r w:rsidRPr="002652C4">
              <w:rPr>
                <w:rFonts w:ascii="Times New Roman" w:hAnsi="Times New Roman" w:cs="Times New Roman"/>
                <w:lang w:val="uk-UA"/>
              </w:rPr>
              <w:t xml:space="preserve"> технічні дані наявних транспортних засобів:</w:t>
            </w:r>
          </w:p>
          <w:tbl>
            <w:tblPr>
              <w:tblW w:w="556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3"/>
              <w:gridCol w:w="992"/>
              <w:gridCol w:w="1275"/>
              <w:gridCol w:w="1565"/>
            </w:tblGrid>
            <w:tr w:rsidR="00B6352C" w:rsidRPr="002652C4" w14:paraId="14C31356" w14:textId="77777777" w:rsidTr="00F8230F">
              <w:trPr>
                <w:trHeight w:val="1042"/>
              </w:trPr>
              <w:tc>
                <w:tcPr>
                  <w:tcW w:w="1734" w:type="dxa"/>
                  <w:tcBorders>
                    <w:top w:val="single" w:sz="4" w:space="0" w:color="auto"/>
                    <w:left w:val="single" w:sz="4" w:space="0" w:color="auto"/>
                    <w:bottom w:val="single" w:sz="4" w:space="0" w:color="auto"/>
                    <w:right w:val="single" w:sz="4" w:space="0" w:color="auto"/>
                  </w:tcBorders>
                  <w:vAlign w:val="center"/>
                  <w:hideMark/>
                </w:tcPr>
                <w:p w14:paraId="78FC043E" w14:textId="77777777" w:rsidR="00B6352C" w:rsidRPr="002652C4" w:rsidRDefault="00B6352C" w:rsidP="00B6352C">
                  <w:pPr>
                    <w:widowControl w:val="0"/>
                    <w:autoSpaceDE w:val="0"/>
                    <w:autoSpaceDN w:val="0"/>
                    <w:adjustRightInd w:val="0"/>
                    <w:spacing w:after="0" w:line="240" w:lineRule="auto"/>
                    <w:ind w:left="100"/>
                    <w:jc w:val="center"/>
                    <w:rPr>
                      <w:rFonts w:ascii="Times New Roman" w:hAnsi="Times New Roman" w:cs="Times New Roman"/>
                      <w:sz w:val="20"/>
                      <w:szCs w:val="20"/>
                    </w:rPr>
                  </w:pPr>
                  <w:r w:rsidRPr="002652C4">
                    <w:rPr>
                      <w:rFonts w:ascii="Times New Roman" w:hAnsi="Times New Roman" w:cs="Times New Roman"/>
                      <w:sz w:val="20"/>
                      <w:szCs w:val="20"/>
                    </w:rPr>
                    <w:t>Марка</w:t>
                  </w:r>
                </w:p>
                <w:p w14:paraId="773BA9D2" w14:textId="77777777" w:rsidR="00B6352C" w:rsidRPr="002652C4" w:rsidRDefault="00B6352C" w:rsidP="00B6352C">
                  <w:pPr>
                    <w:widowControl w:val="0"/>
                    <w:autoSpaceDE w:val="0"/>
                    <w:autoSpaceDN w:val="0"/>
                    <w:adjustRightInd w:val="0"/>
                    <w:spacing w:after="0" w:line="240" w:lineRule="auto"/>
                    <w:ind w:left="100"/>
                    <w:jc w:val="center"/>
                    <w:rPr>
                      <w:rFonts w:ascii="Times New Roman" w:hAnsi="Times New Roman" w:cs="Times New Roman"/>
                      <w:sz w:val="20"/>
                      <w:szCs w:val="20"/>
                    </w:rPr>
                  </w:pPr>
                  <w:r w:rsidRPr="002652C4">
                    <w:rPr>
                      <w:rFonts w:ascii="Times New Roman" w:hAnsi="Times New Roman" w:cs="Times New Roman"/>
                      <w:sz w:val="20"/>
                      <w:szCs w:val="20"/>
                    </w:rPr>
                    <w:t>транспортного засобу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EEC6DD" w14:textId="77777777" w:rsidR="00B6352C" w:rsidRPr="002652C4" w:rsidRDefault="00B6352C" w:rsidP="00B6352C">
                  <w:pPr>
                    <w:widowControl w:val="0"/>
                    <w:autoSpaceDE w:val="0"/>
                    <w:autoSpaceDN w:val="0"/>
                    <w:adjustRightInd w:val="0"/>
                    <w:spacing w:after="0" w:line="240" w:lineRule="auto"/>
                    <w:ind w:left="80"/>
                    <w:jc w:val="center"/>
                    <w:rPr>
                      <w:rFonts w:ascii="Times New Roman" w:hAnsi="Times New Roman" w:cs="Times New Roman"/>
                      <w:sz w:val="20"/>
                      <w:szCs w:val="20"/>
                    </w:rPr>
                  </w:pPr>
                  <w:r w:rsidRPr="002652C4">
                    <w:rPr>
                      <w:rFonts w:ascii="Times New Roman" w:hAnsi="Times New Roman" w:cs="Times New Roman"/>
                      <w:sz w:val="20"/>
                      <w:szCs w:val="20"/>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4FE393" w14:textId="77777777" w:rsidR="00B6352C" w:rsidRPr="002652C4" w:rsidRDefault="00B6352C" w:rsidP="00B6352C">
                  <w:pPr>
                    <w:widowControl w:val="0"/>
                    <w:autoSpaceDE w:val="0"/>
                    <w:autoSpaceDN w:val="0"/>
                    <w:adjustRightInd w:val="0"/>
                    <w:spacing w:after="0" w:line="240" w:lineRule="auto"/>
                    <w:ind w:left="8" w:hanging="8"/>
                    <w:jc w:val="center"/>
                    <w:rPr>
                      <w:rFonts w:ascii="Times New Roman" w:hAnsi="Times New Roman" w:cs="Times New Roman"/>
                      <w:sz w:val="20"/>
                      <w:szCs w:val="20"/>
                    </w:rPr>
                  </w:pPr>
                  <w:r w:rsidRPr="002652C4">
                    <w:rPr>
                      <w:rFonts w:ascii="Times New Roman" w:hAnsi="Times New Roman" w:cs="Times New Roman"/>
                      <w:sz w:val="20"/>
                      <w:szCs w:val="20"/>
                    </w:rPr>
                    <w:t>Термін</w:t>
                  </w:r>
                </w:p>
                <w:p w14:paraId="00DA6FB3" w14:textId="77777777" w:rsidR="00B6352C" w:rsidRPr="002652C4" w:rsidRDefault="00B6352C" w:rsidP="00B6352C">
                  <w:pPr>
                    <w:widowControl w:val="0"/>
                    <w:autoSpaceDE w:val="0"/>
                    <w:autoSpaceDN w:val="0"/>
                    <w:adjustRightInd w:val="0"/>
                    <w:spacing w:after="0" w:line="240" w:lineRule="auto"/>
                    <w:ind w:left="8" w:hanging="8"/>
                    <w:jc w:val="center"/>
                    <w:rPr>
                      <w:rFonts w:ascii="Times New Roman" w:hAnsi="Times New Roman" w:cs="Times New Roman"/>
                      <w:sz w:val="20"/>
                      <w:szCs w:val="20"/>
                    </w:rPr>
                  </w:pPr>
                  <w:r w:rsidRPr="002652C4">
                    <w:rPr>
                      <w:rFonts w:ascii="Times New Roman" w:hAnsi="Times New Roman" w:cs="Times New Roman"/>
                      <w:sz w:val="20"/>
                      <w:szCs w:val="20"/>
                    </w:rPr>
                    <w:t>експлуатації</w:t>
                  </w:r>
                </w:p>
              </w:tc>
              <w:tc>
                <w:tcPr>
                  <w:tcW w:w="1566" w:type="dxa"/>
                  <w:tcBorders>
                    <w:top w:val="single" w:sz="4" w:space="0" w:color="auto"/>
                    <w:left w:val="single" w:sz="4" w:space="0" w:color="auto"/>
                    <w:bottom w:val="single" w:sz="4" w:space="0" w:color="auto"/>
                    <w:right w:val="single" w:sz="4" w:space="0" w:color="auto"/>
                  </w:tcBorders>
                  <w:vAlign w:val="center"/>
                  <w:hideMark/>
                </w:tcPr>
                <w:p w14:paraId="56FBCBB7" w14:textId="77777777" w:rsidR="00B6352C" w:rsidRPr="002652C4" w:rsidRDefault="00B6352C" w:rsidP="00B6352C">
                  <w:pPr>
                    <w:widowControl w:val="0"/>
                    <w:autoSpaceDE w:val="0"/>
                    <w:autoSpaceDN w:val="0"/>
                    <w:adjustRightInd w:val="0"/>
                    <w:spacing w:after="0" w:line="240" w:lineRule="auto"/>
                    <w:ind w:left="80" w:right="142"/>
                    <w:jc w:val="center"/>
                    <w:rPr>
                      <w:rFonts w:ascii="Times New Roman" w:hAnsi="Times New Roman" w:cs="Times New Roman"/>
                      <w:sz w:val="20"/>
                      <w:szCs w:val="20"/>
                      <w:lang w:val="uk-UA"/>
                    </w:rPr>
                  </w:pPr>
                  <w:r w:rsidRPr="002652C4">
                    <w:rPr>
                      <w:rFonts w:ascii="Times New Roman" w:hAnsi="Times New Roman" w:cs="Times New Roman"/>
                      <w:sz w:val="20"/>
                      <w:szCs w:val="20"/>
                      <w:lang w:val="uk-UA"/>
                    </w:rPr>
                    <w:t>Власний або орендований</w:t>
                  </w:r>
                </w:p>
              </w:tc>
            </w:tr>
            <w:tr w:rsidR="00B6352C" w:rsidRPr="002652C4" w14:paraId="165FB0E2" w14:textId="77777777" w:rsidTr="00F8230F">
              <w:trPr>
                <w:trHeight w:val="233"/>
              </w:trPr>
              <w:tc>
                <w:tcPr>
                  <w:tcW w:w="1734" w:type="dxa"/>
                  <w:tcBorders>
                    <w:top w:val="single" w:sz="4" w:space="0" w:color="auto"/>
                    <w:left w:val="single" w:sz="4" w:space="0" w:color="auto"/>
                    <w:bottom w:val="single" w:sz="4" w:space="0" w:color="auto"/>
                    <w:right w:val="single" w:sz="4" w:space="0" w:color="auto"/>
                  </w:tcBorders>
                  <w:vAlign w:val="bottom"/>
                </w:tcPr>
                <w:p w14:paraId="1AC97FBE" w14:textId="77777777" w:rsidR="00B6352C" w:rsidRPr="002652C4" w:rsidRDefault="00B6352C" w:rsidP="00B6352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14:paraId="3F366A06" w14:textId="77777777" w:rsidR="00B6352C" w:rsidRPr="002652C4" w:rsidRDefault="00B6352C" w:rsidP="00B6352C">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14:paraId="258E4564" w14:textId="77777777" w:rsidR="00B6352C" w:rsidRPr="002652C4" w:rsidRDefault="00B6352C" w:rsidP="00B6352C">
                  <w:pPr>
                    <w:widowControl w:val="0"/>
                    <w:autoSpaceDE w:val="0"/>
                    <w:autoSpaceDN w:val="0"/>
                    <w:adjustRightInd w:val="0"/>
                    <w:spacing w:after="0" w:line="240" w:lineRule="auto"/>
                    <w:ind w:left="8" w:hanging="8"/>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vAlign w:val="bottom"/>
                </w:tcPr>
                <w:p w14:paraId="5E08E5AB" w14:textId="77777777" w:rsidR="00B6352C" w:rsidRPr="002652C4" w:rsidRDefault="00B6352C" w:rsidP="00B6352C">
                  <w:pPr>
                    <w:widowControl w:val="0"/>
                    <w:autoSpaceDE w:val="0"/>
                    <w:autoSpaceDN w:val="0"/>
                    <w:adjustRightInd w:val="0"/>
                    <w:spacing w:after="0" w:line="240" w:lineRule="auto"/>
                    <w:rPr>
                      <w:rFonts w:ascii="Times New Roman" w:hAnsi="Times New Roman" w:cs="Times New Roman"/>
                    </w:rPr>
                  </w:pPr>
                </w:p>
              </w:tc>
            </w:tr>
            <w:tr w:rsidR="00B6352C" w:rsidRPr="002652C4" w14:paraId="563F684D" w14:textId="77777777" w:rsidTr="00F8230F">
              <w:trPr>
                <w:trHeight w:val="240"/>
              </w:trPr>
              <w:tc>
                <w:tcPr>
                  <w:tcW w:w="1734" w:type="dxa"/>
                  <w:tcBorders>
                    <w:top w:val="single" w:sz="4" w:space="0" w:color="auto"/>
                    <w:left w:val="single" w:sz="4" w:space="0" w:color="auto"/>
                    <w:bottom w:val="single" w:sz="4" w:space="0" w:color="auto"/>
                    <w:right w:val="single" w:sz="4" w:space="0" w:color="auto"/>
                  </w:tcBorders>
                  <w:vAlign w:val="bottom"/>
                </w:tcPr>
                <w:p w14:paraId="701186D2" w14:textId="77777777" w:rsidR="00B6352C" w:rsidRPr="002652C4" w:rsidRDefault="00B6352C" w:rsidP="00B6352C">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14:paraId="6B6E1362" w14:textId="77777777" w:rsidR="00B6352C" w:rsidRPr="002652C4" w:rsidRDefault="00B6352C" w:rsidP="00B6352C">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14:paraId="78EA826C" w14:textId="77777777" w:rsidR="00B6352C" w:rsidRPr="002652C4" w:rsidRDefault="00B6352C" w:rsidP="00B6352C">
                  <w:pPr>
                    <w:widowControl w:val="0"/>
                    <w:autoSpaceDE w:val="0"/>
                    <w:autoSpaceDN w:val="0"/>
                    <w:adjustRightInd w:val="0"/>
                    <w:spacing w:after="0" w:line="240" w:lineRule="auto"/>
                    <w:ind w:left="8" w:hanging="8"/>
                    <w:rPr>
                      <w:rFonts w:ascii="Times New Roman" w:hAnsi="Times New Roman" w:cs="Times New Roman"/>
                    </w:rPr>
                  </w:pPr>
                </w:p>
              </w:tc>
              <w:tc>
                <w:tcPr>
                  <w:tcW w:w="1566" w:type="dxa"/>
                  <w:tcBorders>
                    <w:top w:val="single" w:sz="4" w:space="0" w:color="auto"/>
                    <w:left w:val="single" w:sz="4" w:space="0" w:color="auto"/>
                    <w:bottom w:val="single" w:sz="4" w:space="0" w:color="auto"/>
                    <w:right w:val="single" w:sz="4" w:space="0" w:color="auto"/>
                  </w:tcBorders>
                  <w:vAlign w:val="bottom"/>
                </w:tcPr>
                <w:p w14:paraId="579A51C2" w14:textId="77777777" w:rsidR="00B6352C" w:rsidRPr="002652C4" w:rsidRDefault="00B6352C" w:rsidP="00B6352C">
                  <w:pPr>
                    <w:widowControl w:val="0"/>
                    <w:autoSpaceDE w:val="0"/>
                    <w:autoSpaceDN w:val="0"/>
                    <w:adjustRightInd w:val="0"/>
                    <w:spacing w:after="0" w:line="240" w:lineRule="auto"/>
                    <w:rPr>
                      <w:rFonts w:ascii="Times New Roman" w:hAnsi="Times New Roman" w:cs="Times New Roman"/>
                    </w:rPr>
                  </w:pPr>
                </w:p>
              </w:tc>
            </w:tr>
          </w:tbl>
          <w:p w14:paraId="5991303B" w14:textId="5769E053" w:rsidR="00B6352C" w:rsidRPr="00FC4DEF" w:rsidRDefault="00B6352C" w:rsidP="00B6352C">
            <w:pPr>
              <w:shd w:val="clear" w:color="auto" w:fill="FFFFFF"/>
              <w:spacing w:after="0" w:line="240" w:lineRule="auto"/>
              <w:jc w:val="both"/>
              <w:rPr>
                <w:rFonts w:ascii="Times New Roman" w:hAnsi="Times New Roman" w:cs="Times New Roman"/>
                <w:b/>
                <w:bCs/>
                <w:lang w:val="uk-UA" w:eastAsia="uk-UA"/>
              </w:rPr>
            </w:pPr>
            <w:r w:rsidRPr="002652C4">
              <w:rPr>
                <w:rFonts w:ascii="Times New Roman" w:hAnsi="Times New Roman" w:cs="Times New Roman"/>
              </w:rPr>
              <w:t>До кожного транспортного засобу, який учасник має намір залучити до виконання договору про закупівлю необхідно надати копію техн</w:t>
            </w:r>
            <w:r>
              <w:rPr>
                <w:rFonts w:ascii="Times New Roman" w:hAnsi="Times New Roman" w:cs="Times New Roman"/>
                <w:lang w:val="uk-UA"/>
              </w:rPr>
              <w:t>і</w:t>
            </w:r>
            <w:r w:rsidRPr="002652C4">
              <w:rPr>
                <w:rFonts w:ascii="Times New Roman" w:hAnsi="Times New Roman" w:cs="Times New Roman"/>
              </w:rPr>
              <w:t>чного паспорту</w:t>
            </w:r>
            <w:r w:rsidRPr="002652C4">
              <w:rPr>
                <w:rFonts w:ascii="Times New Roman" w:hAnsi="Times New Roman" w:cs="Times New Roman"/>
                <w:lang w:val="uk-UA"/>
              </w:rPr>
              <w:t xml:space="preserve"> або копію свідоцтв</w:t>
            </w:r>
            <w:r>
              <w:rPr>
                <w:rFonts w:ascii="Times New Roman" w:hAnsi="Times New Roman" w:cs="Times New Roman"/>
                <w:lang w:val="uk-UA"/>
              </w:rPr>
              <w:t>а про реєстрацію</w:t>
            </w:r>
            <w:r w:rsidRPr="002652C4">
              <w:rPr>
                <w:rFonts w:ascii="Times New Roman" w:hAnsi="Times New Roman" w:cs="Times New Roman"/>
              </w:rPr>
              <w:t xml:space="preserve">. У разі </w:t>
            </w:r>
            <w:r w:rsidRPr="002652C4">
              <w:rPr>
                <w:rFonts w:ascii="Times New Roman" w:hAnsi="Times New Roman" w:cs="Times New Roman"/>
              </w:rPr>
              <w:lastRenderedPageBreak/>
              <w:t xml:space="preserve">оренди транспортного засобу, учасник </w:t>
            </w:r>
            <w:r w:rsidRPr="002652C4">
              <w:rPr>
                <w:rFonts w:ascii="Times New Roman" w:hAnsi="Times New Roman" w:cs="Times New Roman"/>
                <w:u w:val="single"/>
              </w:rPr>
              <w:t>додатково</w:t>
            </w:r>
            <w:r w:rsidRPr="002652C4">
              <w:rPr>
                <w:rFonts w:ascii="Times New Roman" w:hAnsi="Times New Roman" w:cs="Times New Roman"/>
              </w:rPr>
              <w:t xml:space="preserve"> має надати копію договору оренди такого транспортного засобу </w:t>
            </w:r>
            <w:r w:rsidRPr="002652C4">
              <w:rPr>
                <w:rFonts w:ascii="Times New Roman" w:hAnsi="Times New Roman" w:cs="Times New Roman"/>
                <w:lang w:val="uk-UA"/>
              </w:rPr>
              <w:t>і</w:t>
            </w:r>
            <w:r w:rsidRPr="002652C4">
              <w:rPr>
                <w:rFonts w:ascii="Times New Roman" w:hAnsi="Times New Roman" w:cs="Times New Roman"/>
              </w:rPr>
              <w:t xml:space="preserve">з зазначенням строку оренди </w:t>
            </w:r>
            <w:r w:rsidRPr="002652C4">
              <w:rPr>
                <w:rFonts w:ascii="Times New Roman" w:hAnsi="Times New Roman" w:cs="Times New Roman"/>
                <w:lang w:val="uk-UA"/>
              </w:rPr>
              <w:t xml:space="preserve"> </w:t>
            </w:r>
            <w:r w:rsidRPr="002652C4">
              <w:rPr>
                <w:rFonts w:ascii="Times New Roman" w:hAnsi="Times New Roman" w:cs="Times New Roman"/>
              </w:rPr>
              <w:t>(</w:t>
            </w:r>
            <w:r w:rsidRPr="002652C4">
              <w:rPr>
                <w:rFonts w:ascii="Times New Roman" w:hAnsi="Times New Roman" w:cs="Times New Roman"/>
                <w:lang w:val="uk-UA"/>
              </w:rPr>
              <w:t xml:space="preserve">не менш ніж </w:t>
            </w:r>
            <w:r w:rsidRPr="002652C4">
              <w:rPr>
                <w:rFonts w:ascii="Times New Roman" w:hAnsi="Times New Roman" w:cs="Times New Roman"/>
              </w:rPr>
              <w:t>до кінця 20</w:t>
            </w:r>
            <w:r w:rsidRPr="002652C4">
              <w:rPr>
                <w:rFonts w:ascii="Times New Roman" w:hAnsi="Times New Roman" w:cs="Times New Roman"/>
                <w:lang w:val="uk-UA"/>
              </w:rPr>
              <w:t>2</w:t>
            </w:r>
            <w:r>
              <w:rPr>
                <w:rFonts w:ascii="Times New Roman" w:hAnsi="Times New Roman" w:cs="Times New Roman"/>
                <w:lang w:val="uk-UA"/>
              </w:rPr>
              <w:t>4</w:t>
            </w:r>
            <w:r w:rsidRPr="002652C4">
              <w:rPr>
                <w:rFonts w:ascii="Times New Roman" w:hAnsi="Times New Roman" w:cs="Times New Roman"/>
              </w:rPr>
              <w:t xml:space="preserve"> року)</w:t>
            </w:r>
            <w:r w:rsidRPr="002652C4">
              <w:rPr>
                <w:rFonts w:ascii="Times New Roman" w:hAnsi="Times New Roman" w:cs="Times New Roman"/>
                <w:lang w:val="uk-UA"/>
              </w:rPr>
              <w:t>.</w:t>
            </w:r>
            <w:r w:rsidRPr="002652C4">
              <w:rPr>
                <w:rFonts w:ascii="Times New Roman" w:hAnsi="Times New Roman" w:cs="Times New Roman"/>
                <w:b/>
                <w:lang w:val="uk-UA"/>
              </w:rPr>
              <w:t xml:space="preserve"> </w:t>
            </w:r>
            <w:r w:rsidRPr="002652C4">
              <w:rPr>
                <w:rFonts w:ascii="Times New Roman" w:hAnsi="Times New Roman" w:cs="Times New Roman"/>
                <w:lang w:val="uk-UA"/>
              </w:rPr>
              <w:t xml:space="preserve">Обов’язково зазначити в переліку наявність  </w:t>
            </w:r>
            <w:r w:rsidRPr="002652C4">
              <w:rPr>
                <w:rFonts w:ascii="Times New Roman" w:hAnsi="Times New Roman" w:cs="Times New Roman"/>
                <w:bCs/>
                <w:lang w:val="uk-UA" w:eastAsia="uk-UA"/>
              </w:rPr>
              <w:t>сміттєвозів, наявна кільк</w:t>
            </w:r>
            <w:r>
              <w:rPr>
                <w:rFonts w:ascii="Times New Roman" w:hAnsi="Times New Roman" w:cs="Times New Roman"/>
                <w:bCs/>
                <w:lang w:val="uk-UA" w:eastAsia="uk-UA"/>
              </w:rPr>
              <w:t xml:space="preserve">ість яких повинна бути не </w:t>
            </w:r>
            <w:r w:rsidRPr="00FE415E">
              <w:rPr>
                <w:rFonts w:ascii="Times New Roman" w:hAnsi="Times New Roman" w:cs="Times New Roman"/>
                <w:bCs/>
                <w:lang w:val="uk-UA" w:eastAsia="uk-UA"/>
              </w:rPr>
              <w:t xml:space="preserve">менше </w:t>
            </w:r>
            <w:r w:rsidRPr="00FE415E">
              <w:rPr>
                <w:rFonts w:ascii="Times New Roman" w:hAnsi="Times New Roman" w:cs="Times New Roman"/>
                <w:b/>
                <w:bCs/>
                <w:lang w:val="uk-UA" w:eastAsia="uk-UA"/>
              </w:rPr>
              <w:t>двох.</w:t>
            </w:r>
          </w:p>
          <w:p w14:paraId="31F4349B" w14:textId="77777777" w:rsidR="00B6352C" w:rsidRPr="002652C4" w:rsidRDefault="00B6352C" w:rsidP="00B6352C">
            <w:pPr>
              <w:spacing w:after="0" w:line="240" w:lineRule="auto"/>
              <w:ind w:left="132" w:right="12"/>
              <w:jc w:val="both"/>
              <w:rPr>
                <w:rFonts w:ascii="Times New Roman" w:hAnsi="Times New Roman" w:cs="Times New Roman"/>
                <w:lang w:val="uk-UA" w:eastAsia="zh-CN"/>
              </w:rPr>
            </w:pPr>
            <w:r w:rsidRPr="002652C4">
              <w:rPr>
                <w:rFonts w:ascii="Times New Roman" w:hAnsi="Times New Roman" w:cs="Times New Roman"/>
                <w:lang w:val="uk-UA" w:eastAsia="ru-RU"/>
              </w:rPr>
              <w:t xml:space="preserve">Для надання послуг, що є предметом закупівлі необхідна наявність чинних на період </w:t>
            </w:r>
            <w:r>
              <w:rPr>
                <w:rFonts w:ascii="Times New Roman" w:hAnsi="Times New Roman" w:cs="Times New Roman"/>
                <w:lang w:val="uk-UA" w:eastAsia="ru-RU"/>
              </w:rPr>
              <w:t>надання послуг</w:t>
            </w:r>
            <w:r w:rsidRPr="002652C4">
              <w:rPr>
                <w:rFonts w:ascii="Times New Roman" w:hAnsi="Times New Roman" w:cs="Times New Roman"/>
                <w:lang w:val="uk-UA" w:eastAsia="ru-RU"/>
              </w:rPr>
              <w:t xml:space="preserve"> документів, які підтверджують право експлуатації організацією-виконавцем конкретного полігону для захоронення відходів. Копії даних документів повинні бути наданими у складі пропозицій Учасників.</w:t>
            </w:r>
            <w:r w:rsidRPr="002652C4">
              <w:rPr>
                <w:rFonts w:ascii="Times New Roman" w:hAnsi="Times New Roman" w:cs="Times New Roman"/>
                <w:lang w:val="uk-UA"/>
              </w:rPr>
              <w:t xml:space="preserve"> </w:t>
            </w:r>
          </w:p>
          <w:p w14:paraId="4F2EAB0A" w14:textId="0092EABD" w:rsidR="00B6352C" w:rsidRPr="00760C3F" w:rsidRDefault="00B6352C" w:rsidP="00B6352C">
            <w:pPr>
              <w:spacing w:after="0" w:line="240" w:lineRule="auto"/>
              <w:jc w:val="both"/>
              <w:rPr>
                <w:rFonts w:ascii="Times New Roman" w:eastAsia="Times New Roman" w:hAnsi="Times New Roman" w:cs="Times New Roman"/>
                <w:b/>
                <w:bCs/>
                <w:color w:val="000000"/>
                <w:sz w:val="24"/>
                <w:szCs w:val="24"/>
                <w:lang w:val="uk-UA" w:eastAsia="ru-RU"/>
              </w:rPr>
            </w:pPr>
            <w:r w:rsidRPr="002652C4">
              <w:rPr>
                <w:rFonts w:ascii="Times New Roman" w:hAnsi="Times New Roman" w:cs="Times New Roman"/>
                <w:lang w:val="uk-UA"/>
              </w:rPr>
              <w:t>Або Завірену копію договору на право Учасника користування послугами сміттєзвалища з урахуванням технічних вимог</w:t>
            </w:r>
            <w:r>
              <w:rPr>
                <w:rFonts w:ascii="Times New Roman" w:hAnsi="Times New Roman" w:cs="Times New Roman"/>
                <w:lang w:val="uk-UA"/>
              </w:rPr>
              <w:t xml:space="preserve"> процедури закупівлі</w:t>
            </w:r>
            <w:r w:rsidRPr="002652C4">
              <w:rPr>
                <w:rFonts w:ascii="Times New Roman" w:hAnsi="Times New Roman" w:cs="Times New Roman"/>
              </w:rPr>
              <w:t>.</w:t>
            </w:r>
          </w:p>
        </w:tc>
      </w:tr>
      <w:tr w:rsidR="004E3D9A" w:rsidRPr="00760C3F" w14:paraId="01CE2CA3" w14:textId="77777777" w:rsidTr="00CE056A">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68A51" w14:textId="07CC0E67" w:rsidR="004E3D9A" w:rsidRPr="00760C3F" w:rsidRDefault="00B6352C" w:rsidP="000178B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bookmarkStart w:id="0" w:name="_GoBack"/>
            <w:bookmarkEnd w:id="0"/>
            <w:r w:rsidR="004E3D9A" w:rsidRPr="00760C3F">
              <w:rPr>
                <w:rFonts w:ascii="Times New Roman" w:eastAsia="Times New Roman" w:hAnsi="Times New Roman" w:cs="Times New Roman"/>
                <w:b/>
                <w:bCs/>
                <w:color w:val="000000"/>
                <w:sz w:val="24"/>
                <w:szCs w:val="24"/>
                <w:lang w:val="uk-UA" w:eastAsia="ru-RU"/>
              </w:rPr>
              <w:t>.</w:t>
            </w:r>
          </w:p>
        </w:tc>
        <w:tc>
          <w:tcPr>
            <w:tcW w:w="2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D3AF9" w14:textId="46B3E91D" w:rsidR="004E3D9A" w:rsidRPr="00760C3F" w:rsidRDefault="00254052" w:rsidP="000178B8">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3929F" w14:textId="5C4C856A" w:rsidR="00254052" w:rsidRPr="00760C3F" w:rsidRDefault="00254052" w:rsidP="0025405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760C3F">
              <w:rPr>
                <w:rFonts w:ascii="Times New Roman" w:eastAsia="Times New Roman" w:hAnsi="Times New Roman" w:cs="Times New Roman"/>
                <w:color w:val="000000"/>
                <w:sz w:val="24"/>
                <w:szCs w:val="24"/>
                <w:lang w:val="uk-UA" w:eastAsia="ru-RU"/>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5ECB429" w14:textId="3E323653" w:rsidR="00254052" w:rsidRPr="00760C3F" w:rsidRDefault="00254052" w:rsidP="00254052">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760C3F">
              <w:rPr>
                <w:rFonts w:ascii="Times New Roman" w:eastAsia="Times New Roman" w:hAnsi="Times New Roman" w:cs="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Учасник має надати:</w:t>
            </w:r>
          </w:p>
          <w:p w14:paraId="64C83433" w14:textId="77777777" w:rsidR="00254052" w:rsidRPr="00760C3F" w:rsidRDefault="00254052" w:rsidP="00254052">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6F878847" w14:textId="77777777" w:rsidR="00254052" w:rsidRPr="00760C3F" w:rsidRDefault="00254052" w:rsidP="00254052">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760C3F">
              <w:rPr>
                <w:rFonts w:ascii="Times New Roman" w:eastAsia="Times New Roman" w:hAnsi="Times New Roman" w:cs="Times New Roman"/>
                <w:sz w:val="24"/>
                <w:szCs w:val="24"/>
                <w:lang w:val="uk-UA" w:eastAsia="ru-RU"/>
              </w:rPr>
              <w:t>,</w:t>
            </w:r>
            <w:r w:rsidRPr="00760C3F">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3D840062" w14:textId="77777777" w:rsidR="00254052" w:rsidRPr="00760C3F" w:rsidRDefault="00254052" w:rsidP="00254052">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54F97A1A" w14:textId="0C0F7B5C" w:rsidR="004E3D9A" w:rsidRPr="00760C3F" w:rsidRDefault="00254052" w:rsidP="00254052">
            <w:pPr>
              <w:spacing w:after="0" w:line="240" w:lineRule="auto"/>
              <w:jc w:val="both"/>
              <w:rPr>
                <w:rFonts w:ascii="Times New Roman" w:eastAsia="Times New Roman" w:hAnsi="Times New Roman" w:cs="Times New Roman"/>
                <w:color w:val="000000"/>
                <w:sz w:val="24"/>
                <w:szCs w:val="24"/>
                <w:lang w:val="uk-UA" w:eastAsia="ru-RU"/>
              </w:rPr>
            </w:pPr>
            <w:r w:rsidRPr="00760C3F">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199774EE" w14:textId="77777777" w:rsidR="004E3D9A" w:rsidRPr="00760C3F" w:rsidRDefault="004E3D9A" w:rsidP="005D644E">
      <w:pPr>
        <w:spacing w:after="0" w:line="240" w:lineRule="auto"/>
        <w:jc w:val="both"/>
        <w:rPr>
          <w:rFonts w:ascii="Times New Roman" w:eastAsia="Times New Roman" w:hAnsi="Times New Roman" w:cs="Times New Roman"/>
          <w:i/>
          <w:iCs/>
          <w:color w:val="000000"/>
          <w:sz w:val="24"/>
          <w:szCs w:val="24"/>
          <w:lang w:eastAsia="ru-RU"/>
        </w:rPr>
      </w:pPr>
    </w:p>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B6352C"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1563E8CE"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8"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9"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B6352C"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lastRenderedPageBreak/>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0EE87333" w14:textId="4E411012" w:rsidR="00AA0C4B" w:rsidRPr="00760C3F" w:rsidRDefault="000F58F4" w:rsidP="00937685">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3237E6" w14:textId="2B237420" w:rsidR="009645E7" w:rsidRPr="00760C3F" w:rsidRDefault="00AB7A36" w:rsidP="00AB7A36">
            <w:pPr>
              <w:pStyle w:val="20"/>
              <w:spacing w:before="100" w:beforeAutospacing="1" w:after="100" w:afterAutospacing="1"/>
              <w:rPr>
                <w:color w:val="000000"/>
                <w:sz w:val="18"/>
                <w:szCs w:val="18"/>
                <w:shd w:val="clear" w:color="auto" w:fill="FFFFFF"/>
                <w:lang w:val="uk-UA" w:eastAsia="uk-UA" w:bidi="uk-UA"/>
              </w:rPr>
            </w:pPr>
            <w:r w:rsidRPr="00760C3F">
              <w:rPr>
                <w:b/>
                <w:color w:val="000000"/>
                <w:sz w:val="20"/>
                <w:szCs w:val="20"/>
                <w:lang w:val="uk-UA"/>
              </w:rPr>
              <w:t xml:space="preserve"> </w:t>
            </w:r>
          </w:p>
        </w:tc>
      </w:tr>
      <w:tr w:rsidR="002E6331" w:rsidRPr="00B6352C"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D466C72" w14:textId="1E713BC8" w:rsidR="00EF1923" w:rsidRPr="00D72DB9" w:rsidRDefault="00AB7A36" w:rsidP="00D72DB9">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D72DB9">
              <w:rPr>
                <w:color w:val="000000"/>
                <w:sz w:val="18"/>
                <w:szCs w:val="18"/>
                <w:shd w:val="clear" w:color="auto" w:fill="FFFFFF"/>
                <w:lang w:val="uk-UA" w:eastAsia="uk-UA" w:bidi="uk-UA"/>
              </w:rPr>
              <w:t>про проведення відкритих торгів.</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4"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B6352C"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6"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7"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B6352C" w:rsidP="00C9198E">
            <w:pPr>
              <w:widowControl w:val="0"/>
              <w:ind w:left="57" w:right="57"/>
              <w:jc w:val="both"/>
              <w:rPr>
                <w:rFonts w:ascii="Times New Roman" w:hAnsi="Times New Roman" w:cs="Times New Roman"/>
                <w:sz w:val="18"/>
                <w:szCs w:val="18"/>
              </w:rPr>
            </w:pPr>
            <w:hyperlink r:id="rId18"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B6352C"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353F811F" w:rsidR="002E6331" w:rsidRPr="00760C3F" w:rsidRDefault="00760C3F" w:rsidP="00937685">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760C3F">
                <w:rPr>
                  <w:color w:val="000000"/>
                  <w:sz w:val="18"/>
                  <w:szCs w:val="18"/>
                  <w:lang w:val="uk-UA" w:eastAsia="uk-UA" w:bidi="uk-UA"/>
                </w:rPr>
                <w:t>підпунктами 1</w:t>
              </w:r>
            </w:hyperlink>
            <w:r w:rsidRPr="00760C3F">
              <w:rPr>
                <w:color w:val="000000"/>
                <w:sz w:val="18"/>
                <w:szCs w:val="18"/>
                <w:shd w:val="clear" w:color="auto" w:fill="FFFFFF"/>
                <w:lang w:val="uk-UA" w:eastAsia="uk-UA" w:bidi="uk-UA"/>
              </w:rPr>
              <w:t> і </w:t>
            </w:r>
            <w:hyperlink r:id="rId20" w:anchor="n622" w:history="1">
              <w:r w:rsidRPr="00760C3F">
                <w:rPr>
                  <w:color w:val="000000"/>
                  <w:sz w:val="18"/>
                  <w:szCs w:val="18"/>
                  <w:lang w:val="uk-UA" w:eastAsia="uk-UA" w:bidi="uk-UA"/>
                </w:rPr>
                <w:t>7</w:t>
              </w:r>
            </w:hyperlink>
            <w:r w:rsidRPr="00760C3F">
              <w:rPr>
                <w:color w:val="000000"/>
                <w:sz w:val="18"/>
                <w:szCs w:val="18"/>
                <w:shd w:val="clear" w:color="auto" w:fill="FFFFFF"/>
                <w:lang w:val="uk-UA" w:eastAsia="uk-UA" w:bidi="uk-UA"/>
              </w:rPr>
              <w:t> цього пункту.</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B6352C"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22"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B6352C"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B6352C"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435B0DA1"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w:t>
            </w:r>
            <w:r w:rsidR="00B56F88" w:rsidRPr="00760C3F">
              <w:rPr>
                <w:b/>
                <w:color w:val="000000"/>
                <w:sz w:val="18"/>
                <w:szCs w:val="18"/>
                <w:shd w:val="clear" w:color="auto" w:fill="FFFFFF"/>
                <w:lang w:val="uk-UA" w:eastAsia="uk-UA" w:bidi="uk-UA"/>
              </w:rPr>
              <w:lastRenderedPageBreak/>
              <w:t xml:space="preserve">на здійснення у неї публічних закупівель товарів, робіт і послуг згідно із </w:t>
            </w:r>
            <w:hyperlink r:id="rId25"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r w:rsidR="00CE056A" w:rsidRPr="00CE056A">
              <w:rPr>
                <w:b/>
                <w:color w:val="000000"/>
                <w:sz w:val="18"/>
                <w:szCs w:val="18"/>
                <w:shd w:val="clear" w:color="auto" w:fill="FFFFFF"/>
                <w:lang w:val="uk-UA" w:eastAsia="uk-UA" w:bidi="uk-UA"/>
              </w:rPr>
              <w:t>,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w:t>
            </w:r>
            <w:r w:rsidRPr="00760C3F">
              <w:rPr>
                <w:color w:val="000000"/>
                <w:sz w:val="18"/>
                <w:szCs w:val="18"/>
                <w:shd w:val="clear" w:color="auto" w:fill="FFFFFF"/>
                <w:lang w:val="uk-UA" w:eastAsia="uk-UA" w:bidi="uk-UA"/>
              </w:rPr>
              <w:lastRenderedPageBreak/>
              <w:t>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lastRenderedPageBreak/>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w:t>
            </w:r>
            <w:r w:rsidRPr="00760C3F">
              <w:rPr>
                <w:color w:val="000000"/>
                <w:sz w:val="18"/>
                <w:szCs w:val="18"/>
                <w:shd w:val="clear" w:color="auto" w:fill="FFFFFF"/>
                <w:lang w:val="uk-UA" w:eastAsia="uk-UA" w:bidi="uk-UA"/>
              </w:rPr>
              <w:lastRenderedPageBreak/>
              <w:t>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7"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8"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 xml:space="preserve">ПУНКТУ </w:t>
      </w:r>
      <w:r w:rsidR="00C9198E" w:rsidRPr="00644F17">
        <w:rPr>
          <w:rFonts w:ascii="Times New Roman" w:eastAsia="Times New Roman" w:hAnsi="Times New Roman" w:cs="Times New Roman"/>
          <w:b/>
          <w:bCs/>
          <w:color w:val="000000"/>
          <w:sz w:val="24"/>
          <w:szCs w:val="24"/>
          <w:highlight w:val="yellow"/>
          <w:lang w:val="uk-UA" w:eastAsia="ru-RU"/>
        </w:rPr>
        <w:lastRenderedPageBreak/>
        <w:t>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913" w:type="dxa"/>
        <w:tblCellMar>
          <w:top w:w="15" w:type="dxa"/>
          <w:left w:w="15" w:type="dxa"/>
          <w:bottom w:w="15" w:type="dxa"/>
          <w:right w:w="15" w:type="dxa"/>
        </w:tblCellMar>
        <w:tblLook w:val="04A0" w:firstRow="1" w:lastRow="0" w:firstColumn="1" w:lastColumn="0" w:noHBand="0" w:noVBand="1"/>
      </w:tblPr>
      <w:tblGrid>
        <w:gridCol w:w="401"/>
        <w:gridCol w:w="9512"/>
      </w:tblGrid>
      <w:tr w:rsidR="0030280B" w:rsidRPr="00760C3F" w14:paraId="617704B4" w14:textId="77777777" w:rsidTr="00B115E4">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59099F" w:rsidRPr="00B6352C" w14:paraId="13421FAA"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3DAFF7D3" w:rsidR="0059099F" w:rsidRPr="00760C3F" w:rsidRDefault="0059099F" w:rsidP="00A50573">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9099F" w:rsidRPr="00B6352C" w14:paraId="74B72417"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1495C730" w:rsidR="0059099F" w:rsidRPr="00760C3F" w:rsidRDefault="0059099F" w:rsidP="00A50573">
            <w:pPr>
              <w:spacing w:after="0" w:line="240" w:lineRule="auto"/>
              <w:ind w:left="100"/>
              <w:jc w:val="both"/>
              <w:rPr>
                <w:rFonts w:ascii="Times New Roman" w:eastAsia="Times New Roman" w:hAnsi="Times New Roman" w:cs="Times New Roman"/>
                <w:color w:val="000000"/>
                <w:sz w:val="20"/>
                <w:szCs w:val="20"/>
                <w:lang w:val="uk-UA" w:eastAsia="ru-RU"/>
              </w:rPr>
            </w:pPr>
            <w:r w:rsidRPr="00760C3F">
              <w:rPr>
                <w:rStyle w:val="ad"/>
                <w:rFonts w:ascii="Times New Roman" w:hAnsi="Times New Roman" w:cs="Times New Roman"/>
                <w:sz w:val="20"/>
                <w:szCs w:val="20"/>
                <w:lang w:val="uk-UA"/>
              </w:rPr>
              <w:t xml:space="preserve">Достовірна інформація у вигляді довідки довільної форми </w:t>
            </w:r>
            <w:r w:rsidRPr="00760C3F">
              <w:rPr>
                <w:rStyle w:val="ad"/>
                <w:rFonts w:ascii="Times New Roman" w:hAnsi="Times New Roman" w:cs="Times New Roman"/>
                <w:b w:val="0"/>
                <w:bCs w:val="0"/>
                <w:sz w:val="20"/>
                <w:szCs w:val="20"/>
                <w:lang w:val="uk-UA"/>
              </w:rPr>
              <w:t>в якій зазначити дані про наявність</w:t>
            </w:r>
            <w:r w:rsidR="00C9198E" w:rsidRPr="00760C3F">
              <w:rPr>
                <w:rStyle w:val="ad"/>
                <w:rFonts w:ascii="Times New Roman" w:hAnsi="Times New Roman" w:cs="Times New Roman"/>
                <w:b w:val="0"/>
                <w:bCs w:val="0"/>
                <w:sz w:val="20"/>
                <w:szCs w:val="20"/>
                <w:lang w:val="uk-UA"/>
              </w:rPr>
              <w:t xml:space="preserve"> (або відсутність)</w:t>
            </w:r>
            <w:r w:rsidRPr="00760C3F">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59099F" w:rsidRPr="00B6352C" w14:paraId="5CD007D3" w14:textId="77777777" w:rsidTr="0081218E">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59099F" w:rsidRPr="00760C3F" w:rsidRDefault="0059099F" w:rsidP="00A50573">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23EB2277" w:rsidR="0059099F" w:rsidRPr="0010756B" w:rsidRDefault="0059099F" w:rsidP="00A50573">
            <w:pPr>
              <w:spacing w:after="0" w:line="240" w:lineRule="auto"/>
              <w:ind w:left="120" w:right="120" w:hanging="20"/>
              <w:jc w:val="both"/>
              <w:rPr>
                <w:rFonts w:ascii="Times New Roman" w:eastAsia="Times New Roman" w:hAnsi="Times New Roman" w:cs="Times New Roman"/>
                <w:color w:val="000000"/>
                <w:sz w:val="20"/>
                <w:szCs w:val="20"/>
                <w:lang w:val="uk-UA" w:eastAsia="ru-RU"/>
              </w:rPr>
            </w:pPr>
            <w:r w:rsidRPr="00760C3F">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760C3F">
              <w:rPr>
                <w:rFonts w:ascii="Times New Roman" w:eastAsia="Times New Roman" w:hAnsi="Times New Roman" w:cs="Times New Roman"/>
                <w:b/>
                <w:bCs/>
                <w:color w:val="000000"/>
                <w:sz w:val="20"/>
                <w:szCs w:val="20"/>
                <w:lang w:val="uk-UA" w:eastAsia="ru-RU"/>
              </w:rPr>
              <w:t>у вигляді листа-гарантії</w:t>
            </w:r>
            <w:r w:rsidRPr="00760C3F">
              <w:rPr>
                <w:rFonts w:ascii="Times New Roman" w:eastAsia="Times New Roman" w:hAnsi="Times New Roman" w:cs="Times New Roman"/>
                <w:color w:val="000000"/>
                <w:sz w:val="20"/>
                <w:szCs w:val="20"/>
                <w:lang w:val="uk-UA" w:eastAsia="ru-RU"/>
              </w:rPr>
              <w:t xml:space="preserve"> наступного змісту: </w:t>
            </w:r>
            <w:r w:rsidRPr="00760C3F">
              <w:rPr>
                <w:rFonts w:ascii="Times New Roman" w:eastAsia="Times New Roman" w:hAnsi="Times New Roman" w:cs="Times New Roman"/>
                <w:b/>
                <w:bCs/>
                <w:color w:val="000000"/>
                <w:sz w:val="20"/>
                <w:szCs w:val="20"/>
                <w:lang w:val="uk-UA" w:eastAsia="ru-RU"/>
              </w:rPr>
              <w:t xml:space="preserve">«Ми, </w:t>
            </w:r>
            <w:r w:rsidRPr="00760C3F">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760C3F">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760C3F">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760C3F">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08E71F3A"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B6352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A39BF"/>
    <w:rsid w:val="001B41E7"/>
    <w:rsid w:val="001D1A57"/>
    <w:rsid w:val="001D31A4"/>
    <w:rsid w:val="001E548B"/>
    <w:rsid w:val="001F7596"/>
    <w:rsid w:val="0020273B"/>
    <w:rsid w:val="00236CA2"/>
    <w:rsid w:val="00245E7B"/>
    <w:rsid w:val="00246ABF"/>
    <w:rsid w:val="00254052"/>
    <w:rsid w:val="00280EA3"/>
    <w:rsid w:val="00296DBC"/>
    <w:rsid w:val="002C4207"/>
    <w:rsid w:val="002D6E64"/>
    <w:rsid w:val="002E21BB"/>
    <w:rsid w:val="002E6331"/>
    <w:rsid w:val="002F6626"/>
    <w:rsid w:val="0030280B"/>
    <w:rsid w:val="00310196"/>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C1BC1"/>
    <w:rsid w:val="005C35EE"/>
    <w:rsid w:val="005C7788"/>
    <w:rsid w:val="005D644E"/>
    <w:rsid w:val="00600A69"/>
    <w:rsid w:val="00630B8F"/>
    <w:rsid w:val="00643890"/>
    <w:rsid w:val="00644BD1"/>
    <w:rsid w:val="00644F17"/>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D7E08"/>
    <w:rsid w:val="00900609"/>
    <w:rsid w:val="009010BE"/>
    <w:rsid w:val="009021B9"/>
    <w:rsid w:val="00906633"/>
    <w:rsid w:val="00936FC0"/>
    <w:rsid w:val="00937685"/>
    <w:rsid w:val="00953CC4"/>
    <w:rsid w:val="009645E7"/>
    <w:rsid w:val="009731B9"/>
    <w:rsid w:val="009F2CA8"/>
    <w:rsid w:val="00A07D68"/>
    <w:rsid w:val="00A11F52"/>
    <w:rsid w:val="00A269FE"/>
    <w:rsid w:val="00A3166A"/>
    <w:rsid w:val="00A327D1"/>
    <w:rsid w:val="00A43391"/>
    <w:rsid w:val="00A50573"/>
    <w:rsid w:val="00A71075"/>
    <w:rsid w:val="00A835E8"/>
    <w:rsid w:val="00A84883"/>
    <w:rsid w:val="00A9329A"/>
    <w:rsid w:val="00AA0C4B"/>
    <w:rsid w:val="00AA24C7"/>
    <w:rsid w:val="00AA34EF"/>
    <w:rsid w:val="00AB0EB9"/>
    <w:rsid w:val="00AB7A36"/>
    <w:rsid w:val="00AC7281"/>
    <w:rsid w:val="00AE5D57"/>
    <w:rsid w:val="00AE73FD"/>
    <w:rsid w:val="00B02E67"/>
    <w:rsid w:val="00B02F13"/>
    <w:rsid w:val="00B064BA"/>
    <w:rsid w:val="00B070E1"/>
    <w:rsid w:val="00B115E4"/>
    <w:rsid w:val="00B229CA"/>
    <w:rsid w:val="00B25675"/>
    <w:rsid w:val="00B56F88"/>
    <w:rsid w:val="00B62B6E"/>
    <w:rsid w:val="00B6352C"/>
    <w:rsid w:val="00B72A27"/>
    <w:rsid w:val="00B74D8C"/>
    <w:rsid w:val="00BA2F2D"/>
    <w:rsid w:val="00BA777F"/>
    <w:rsid w:val="00BB4F4C"/>
    <w:rsid w:val="00BB4FFD"/>
    <w:rsid w:val="00BC1B89"/>
    <w:rsid w:val="00BC45ED"/>
    <w:rsid w:val="00BC65E4"/>
    <w:rsid w:val="00C04675"/>
    <w:rsid w:val="00C3084C"/>
    <w:rsid w:val="00C31573"/>
    <w:rsid w:val="00C34D9A"/>
    <w:rsid w:val="00C37251"/>
    <w:rsid w:val="00C46502"/>
    <w:rsid w:val="00C60CA0"/>
    <w:rsid w:val="00C643E8"/>
    <w:rsid w:val="00C85CD9"/>
    <w:rsid w:val="00C87032"/>
    <w:rsid w:val="00C904B4"/>
    <w:rsid w:val="00C9198E"/>
    <w:rsid w:val="00C94555"/>
    <w:rsid w:val="00CC4682"/>
    <w:rsid w:val="00CD301C"/>
    <w:rsid w:val="00CD36DF"/>
    <w:rsid w:val="00CD53A8"/>
    <w:rsid w:val="00CE056A"/>
    <w:rsid w:val="00D16524"/>
    <w:rsid w:val="00D22A33"/>
    <w:rsid w:val="00D36C47"/>
    <w:rsid w:val="00D605D2"/>
    <w:rsid w:val="00D64125"/>
    <w:rsid w:val="00D72012"/>
    <w:rsid w:val="00D72DB9"/>
    <w:rsid w:val="00D83E40"/>
    <w:rsid w:val="00D87D46"/>
    <w:rsid w:val="00D977B8"/>
    <w:rsid w:val="00DA1E3C"/>
    <w:rsid w:val="00DA3380"/>
    <w:rsid w:val="00DA46B2"/>
    <w:rsid w:val="00DD5AAB"/>
    <w:rsid w:val="00DE070F"/>
    <w:rsid w:val="00DE6F56"/>
    <w:rsid w:val="00E11CC4"/>
    <w:rsid w:val="00E172C5"/>
    <w:rsid w:val="00E25D6C"/>
    <w:rsid w:val="00E37C82"/>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hyperlink" Target="https://zakon.rada.gov.ua/laws/show/2210-14" TargetMode="External"/><Relationship Id="rId18" Type="http://schemas.openxmlformats.org/officeDocument/2006/relationships/hyperlink" Target="https://vytiah.mvs.gov.ua/app/checkStatus" TargetMode="External"/><Relationship Id="rId26"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z0425-22"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amcu.gov.ua/"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2939-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755-15" TargetMode="External"/><Relationship Id="rId28" Type="http://schemas.openxmlformats.org/officeDocument/2006/relationships/hyperlink" Target="https://vytiah.mvs.gov.ua/app/checkStatus"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1178-2022-%D0%BF/ed202305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zakon.rada.gov.ua/laws/show/2210-14" TargetMode="External"/><Relationship Id="rId22" Type="http://schemas.openxmlformats.org/officeDocument/2006/relationships/hyperlink" Target="https://minjust.gov.ua/news/ministry/zmineno-poryadok-otrimannya-vidomostey-z-edinogo-reestru-pidpriemstv-schodo-yakih-porusheno-provadjennya-u-spravi-pro-bankrutstvo" TargetMode="External"/><Relationship Id="rId27" Type="http://schemas.openxmlformats.org/officeDocument/2006/relationships/hyperlink" Target="https://zakon.rada.gov.ua/laws/show/z0425-2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A75A-0670-4C1C-9DAD-02D81016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15919</Words>
  <Characters>9074</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2024-03-05T08:45:00Z</dcterms:created>
  <dcterms:modified xsi:type="dcterms:W3CDTF">2024-03-05T08:45:00Z</dcterms:modified>
</cp:coreProperties>
</file>