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50B76D74" w:rsidR="00E22ED9" w:rsidRPr="002E19D6" w:rsidRDefault="00E22ED9" w:rsidP="002E19D6">
      <w:pPr>
        <w:jc w:val="both"/>
        <w:rPr>
          <w:rFonts w:ascii="Times New Roman" w:eastAsia="Times New Roman" w:hAnsi="Times New Roman" w:cs="Times New Roman"/>
          <w:b/>
          <w:sz w:val="20"/>
          <w:szCs w:val="24"/>
          <w:lang w:val="uk-UA" w:eastAsia="ru-RU"/>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3632DE" w:rsidRPr="00580AC8">
        <w:rPr>
          <w:rFonts w:ascii="Times New Roman" w:eastAsia="Times New Roman" w:hAnsi="Times New Roman" w:cs="Times New Roman"/>
          <w:b/>
          <w:i/>
          <w:u w:val="single"/>
          <w:lang w:val="uk-UA"/>
        </w:rPr>
        <w:t>90510000-5 — Утилізація</w:t>
      </w:r>
      <w:r w:rsidR="003632DE">
        <w:rPr>
          <w:rFonts w:ascii="Times New Roman" w:eastAsia="Times New Roman" w:hAnsi="Times New Roman" w:cs="Times New Roman"/>
          <w:b/>
          <w:i/>
          <w:u w:val="single"/>
          <w:lang w:val="uk-UA"/>
        </w:rPr>
        <w:t>/видалення</w:t>
      </w:r>
      <w:r w:rsidR="003632DE" w:rsidRPr="00580AC8">
        <w:rPr>
          <w:rFonts w:ascii="Times New Roman" w:eastAsia="Times New Roman" w:hAnsi="Times New Roman" w:cs="Times New Roman"/>
          <w:b/>
          <w:i/>
          <w:u w:val="single"/>
          <w:lang w:val="uk-UA"/>
        </w:rPr>
        <w:t xml:space="preserve"> сміття та поводження зі сміттям </w:t>
      </w:r>
      <w:r w:rsidR="003632DE" w:rsidRPr="00AD2515">
        <w:rPr>
          <w:rFonts w:ascii="Times New Roman" w:eastAsia="Times New Roman" w:hAnsi="Times New Roman" w:cs="Times New Roman"/>
          <w:b/>
          <w:bCs/>
          <w:i/>
          <w:sz w:val="24"/>
          <w:szCs w:val="24"/>
          <w:u w:val="single"/>
          <w:lang w:val="uk-UA"/>
        </w:rPr>
        <w:t>Єдиний закупівельний словник ДК 021:2015</w:t>
      </w:r>
      <w:r w:rsidR="003632DE" w:rsidRPr="00580AC8">
        <w:rPr>
          <w:rFonts w:ascii="Times New Roman" w:eastAsia="Times New Roman" w:hAnsi="Times New Roman" w:cs="Times New Roman"/>
          <w:b/>
          <w:i/>
          <w:u w:val="single"/>
          <w:lang w:val="uk-UA"/>
        </w:rPr>
        <w:t xml:space="preserve"> </w:t>
      </w:r>
      <w:r w:rsidR="003632DE">
        <w:rPr>
          <w:rFonts w:ascii="Times New Roman" w:eastAsia="Times New Roman" w:hAnsi="Times New Roman" w:cs="Times New Roman"/>
          <w:b/>
          <w:i/>
          <w:u w:val="single"/>
          <w:lang w:val="uk-UA"/>
        </w:rPr>
        <w:t xml:space="preserve"> </w:t>
      </w:r>
      <w:r w:rsidR="003632DE" w:rsidRPr="00580AC8">
        <w:rPr>
          <w:rFonts w:ascii="Times New Roman" w:eastAsia="Times New Roman" w:hAnsi="Times New Roman" w:cs="Times New Roman"/>
          <w:b/>
          <w:i/>
          <w:u w:val="single"/>
          <w:lang w:val="uk-UA"/>
        </w:rPr>
        <w:t xml:space="preserve">(Вивезення твердих побутових відходів від об'єктів </w:t>
      </w:r>
      <w:proofErr w:type="spellStart"/>
      <w:r w:rsidR="003632DE" w:rsidRPr="00580AC8">
        <w:rPr>
          <w:rFonts w:ascii="Times New Roman" w:eastAsia="Times New Roman" w:hAnsi="Times New Roman" w:cs="Times New Roman"/>
          <w:b/>
          <w:i/>
          <w:u w:val="single"/>
          <w:lang w:val="uk-UA"/>
        </w:rPr>
        <w:t>ОНМедУ</w:t>
      </w:r>
      <w:proofErr w:type="spellEnd"/>
      <w:r w:rsidR="003632DE" w:rsidRPr="00580AC8">
        <w:rPr>
          <w:rFonts w:ascii="Times New Roman" w:eastAsia="Times New Roman" w:hAnsi="Times New Roman" w:cs="Times New Roman"/>
          <w:b/>
          <w:i/>
          <w:u w:val="single"/>
          <w:lang w:val="uk-UA"/>
        </w:rPr>
        <w:t xml:space="preserve"> за адресами їх розташування відповідно дислокації)</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3651"/>
        <w:gridCol w:w="1418"/>
        <w:gridCol w:w="1162"/>
        <w:gridCol w:w="1560"/>
        <w:gridCol w:w="2551"/>
      </w:tblGrid>
      <w:tr w:rsidR="002E19D6" w:rsidRPr="005C0235" w14:paraId="2C4A4195"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07DBE1A1" w14:textId="77777777" w:rsidR="002E19D6" w:rsidRPr="005C0235" w:rsidRDefault="002E19D6" w:rsidP="002E19D6">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w:t>
            </w:r>
            <w:r>
              <w:rPr>
                <w:rFonts w:ascii="Times New Roman" w:hAnsi="Times New Roman"/>
                <w:b/>
                <w:sz w:val="20"/>
                <w:szCs w:val="20"/>
                <w:lang w:val="uk-UA"/>
              </w:rPr>
              <w:t xml:space="preserve">йменування </w:t>
            </w:r>
          </w:p>
          <w:p w14:paraId="5F1FCE63" w14:textId="31DED939" w:rsidR="002E19D6" w:rsidRPr="005C0235" w:rsidRDefault="002E19D6" w:rsidP="00A83D04">
            <w:pPr>
              <w:pStyle w:val="af2"/>
              <w:spacing w:after="0" w:line="240" w:lineRule="auto"/>
              <w:jc w:val="center"/>
              <w:rPr>
                <w:rFonts w:ascii="Times New Roman" w:hAnsi="Times New Roman"/>
                <w:b/>
                <w:sz w:val="20"/>
                <w:szCs w:val="20"/>
                <w:lang w:val="uk-UA"/>
              </w:rPr>
            </w:pPr>
          </w:p>
        </w:tc>
        <w:tc>
          <w:tcPr>
            <w:tcW w:w="1418" w:type="dxa"/>
            <w:tcBorders>
              <w:top w:val="single" w:sz="4" w:space="0" w:color="000000"/>
              <w:left w:val="single" w:sz="4" w:space="0" w:color="000000"/>
              <w:bottom w:val="single" w:sz="4" w:space="0" w:color="000000"/>
            </w:tcBorders>
            <w:shd w:val="clear" w:color="auto" w:fill="auto"/>
          </w:tcPr>
          <w:p w14:paraId="623D8C0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1162" w:type="dxa"/>
            <w:tcBorders>
              <w:top w:val="single" w:sz="4" w:space="0" w:color="000000"/>
              <w:left w:val="single" w:sz="4" w:space="0" w:color="000000"/>
              <w:bottom w:val="single" w:sz="4" w:space="0" w:color="000000"/>
            </w:tcBorders>
            <w:shd w:val="clear" w:color="auto" w:fill="auto"/>
          </w:tcPr>
          <w:p w14:paraId="6E3196C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2E19D6" w:rsidRPr="005C0235" w:rsidRDefault="002E19D6"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2E19D6" w:rsidRPr="009407FE" w14:paraId="322E1109"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2E19D6" w:rsidRPr="009407FE" w:rsidRDefault="002E19D6"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23A81A20" w14:textId="77777777" w:rsidR="002E19D6" w:rsidRDefault="002E19D6" w:rsidP="00A83D04">
            <w:pPr>
              <w:spacing w:after="0" w:line="240" w:lineRule="auto"/>
              <w:rPr>
                <w:color w:val="000000"/>
              </w:rPr>
            </w:pPr>
          </w:p>
        </w:tc>
        <w:tc>
          <w:tcPr>
            <w:tcW w:w="1418" w:type="dxa"/>
            <w:tcBorders>
              <w:top w:val="single" w:sz="4" w:space="0" w:color="000000"/>
              <w:left w:val="single" w:sz="4" w:space="0" w:color="000000"/>
              <w:bottom w:val="single" w:sz="4" w:space="0" w:color="000000"/>
            </w:tcBorders>
            <w:shd w:val="clear" w:color="auto" w:fill="auto"/>
          </w:tcPr>
          <w:p w14:paraId="02FF1392" w14:textId="562B8AFF" w:rsidR="002E19D6" w:rsidRPr="002E19D6" w:rsidRDefault="002E19D6" w:rsidP="00A83D04">
            <w:pPr>
              <w:spacing w:after="0" w:line="240" w:lineRule="auto"/>
              <w:rPr>
                <w:rFonts w:ascii="Times New Roman" w:hAnsi="Times New Roman" w:cs="Times New Roman"/>
                <w:color w:val="000000"/>
                <w:lang w:val="uk-UA"/>
              </w:rPr>
            </w:pPr>
            <w:r w:rsidRPr="002E19D6">
              <w:rPr>
                <w:rFonts w:ascii="Times New Roman" w:hAnsi="Times New Roman" w:cs="Times New Roman"/>
                <w:color w:val="000000"/>
                <w:lang w:val="uk-UA"/>
              </w:rPr>
              <w:t>Послуга</w:t>
            </w:r>
          </w:p>
        </w:tc>
        <w:tc>
          <w:tcPr>
            <w:tcW w:w="1162" w:type="dxa"/>
            <w:tcBorders>
              <w:top w:val="single" w:sz="4" w:space="0" w:color="000000"/>
              <w:left w:val="single" w:sz="4" w:space="0" w:color="000000"/>
              <w:bottom w:val="single" w:sz="4" w:space="0" w:color="000000"/>
            </w:tcBorders>
            <w:shd w:val="clear" w:color="auto" w:fill="auto"/>
            <w:vAlign w:val="bottom"/>
          </w:tcPr>
          <w:p w14:paraId="0E9E88A1" w14:textId="1FBEB732" w:rsidR="002E19D6" w:rsidRPr="00D03FCC" w:rsidRDefault="00D03FCC" w:rsidP="00A83D04">
            <w:pPr>
              <w:spacing w:after="0" w:line="240" w:lineRule="auto"/>
              <w:jc w:val="right"/>
              <w:rPr>
                <w:rFonts w:ascii="Times New Roman" w:hAnsi="Times New Roman" w:cs="Times New Roman"/>
                <w:color w:val="000000"/>
                <w:lang w:val="uk-UA"/>
              </w:rPr>
            </w:pPr>
            <w:r w:rsidRPr="00D03FCC">
              <w:rPr>
                <w:rFonts w:ascii="Times New Roman" w:hAnsi="Times New Roman" w:cs="Times New Roman"/>
                <w:color w:val="000000"/>
                <w:lang w:val="uk-UA"/>
              </w:rPr>
              <w:t>1587</w:t>
            </w: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2E19D6" w:rsidRDefault="002E19D6"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2E19D6" w:rsidRDefault="002E19D6" w:rsidP="00A83D04">
            <w:pPr>
              <w:spacing w:after="0" w:line="240" w:lineRule="auto"/>
              <w:jc w:val="right"/>
              <w:rPr>
                <w:color w:val="000000"/>
              </w:rPr>
            </w:pPr>
          </w:p>
        </w:tc>
      </w:tr>
      <w:tr w:rsidR="00E82860" w:rsidRPr="009407FE" w14:paraId="45D7C4BE" w14:textId="77777777" w:rsidTr="002E19D6">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075" w:type="dxa"/>
            <w:gridSpan w:val="3"/>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116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5"/>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3B942C3F"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6. Ми зобов'язуємося здійснити </w:t>
      </w:r>
      <w:r w:rsidR="006602D9">
        <w:rPr>
          <w:rFonts w:ascii="Times New Roman" w:hAnsi="Times New Roman" w:cs="Times New Roman"/>
          <w:lang w:val="uk-UA" w:eastAsia="zh-CN"/>
        </w:rPr>
        <w:t>надання Послуг</w:t>
      </w:r>
      <w:r w:rsidRPr="006A7926">
        <w:rPr>
          <w:rFonts w:ascii="Times New Roman" w:hAnsi="Times New Roman" w:cs="Times New Roman"/>
          <w:lang w:val="uk-UA" w:eastAsia="zh-CN"/>
        </w:rPr>
        <w:t xml:space="preserve"> відповідно до умов Договору про закупівлю.</w:t>
      </w:r>
    </w:p>
    <w:p w14:paraId="3B9272C9" w14:textId="2288BB9A"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 xml:space="preserve">7. Ми погоджуємось, що у разі укладання з нами Договору, оплата за </w:t>
      </w:r>
      <w:r w:rsidR="006602D9">
        <w:rPr>
          <w:rFonts w:ascii="Times New Roman" w:hAnsi="Times New Roman" w:cs="Times New Roman"/>
          <w:lang w:val="uk-UA" w:eastAsia="zh-CN"/>
        </w:rPr>
        <w:t xml:space="preserve">надані Послуги </w:t>
      </w:r>
      <w:bookmarkStart w:id="0" w:name="_GoBack"/>
      <w:bookmarkEnd w:id="0"/>
      <w:r w:rsidRPr="006A7926">
        <w:rPr>
          <w:rFonts w:ascii="Times New Roman" w:hAnsi="Times New Roman" w:cs="Times New Roman"/>
          <w:lang w:val="uk-UA" w:eastAsia="zh-CN"/>
        </w:rPr>
        <w:t>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6EF5F99F"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AF060E">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00AA093" w14:textId="2845E52E"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w:t>
      </w:r>
      <w:r w:rsidR="00AF060E">
        <w:rPr>
          <w:rFonts w:ascii="Times New Roman" w:hAnsi="Times New Roman" w:cs="Times New Roman"/>
          <w:i/>
          <w:sz w:val="20"/>
          <w:szCs w:val="20"/>
          <w:lang w:val="uk-UA" w:eastAsia="zh-CN"/>
        </w:rPr>
        <w:t>7</w:t>
      </w:r>
      <w:r w:rsidRPr="006A7926">
        <w:rPr>
          <w:rFonts w:ascii="Times New Roman" w:hAnsi="Times New Roman" w:cs="Times New Roman"/>
          <w:i/>
          <w:sz w:val="20"/>
          <w:szCs w:val="20"/>
          <w:lang w:val="uk-UA" w:eastAsia="zh-CN"/>
        </w:rPr>
        <w:t xml:space="preserve"> особливостей,  </w:t>
      </w:r>
      <w:r w:rsidR="002E19D6">
        <w:rPr>
          <w:rFonts w:ascii="Times New Roman" w:hAnsi="Times New Roman" w:cs="Times New Roman"/>
          <w:i/>
          <w:sz w:val="20"/>
          <w:szCs w:val="20"/>
          <w:lang w:val="uk-UA" w:eastAsia="zh-CN"/>
        </w:rPr>
        <w:t>переможець</w:t>
      </w:r>
      <w:r w:rsidRPr="006A7926">
        <w:rPr>
          <w:rFonts w:ascii="Times New Roman" w:hAnsi="Times New Roman" w:cs="Times New Roman"/>
          <w:i/>
          <w:sz w:val="20"/>
          <w:szCs w:val="20"/>
          <w:lang w:val="uk-UA" w:eastAsia="zh-CN"/>
        </w:rPr>
        <w:t xml:space="preserve"> подає Цінову пропозицію (первинну ) повторно або Цінову пропозицію скориговану у бік зменшення.</w:t>
      </w:r>
    </w:p>
    <w:p w14:paraId="22BEF3C2" w14:textId="7677CFE1"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або первинній ціновій пропозиції має відповідати остаточній ціні пропозиції.</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632DE"/>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02D9"/>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16A20"/>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060E"/>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03FCC"/>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182"/>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CC42-C2E7-45BD-BA70-8BFE708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2962</Words>
  <Characters>1689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2024-03-07T10:36:00Z</dcterms:created>
  <dcterms:modified xsi:type="dcterms:W3CDTF">2024-03-07T10:36:00Z</dcterms:modified>
</cp:coreProperties>
</file>