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642A3A46"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5C1CD6">
              <w:rPr>
                <w:rFonts w:ascii="Times New Roman" w:eastAsia="Times New Roman" w:hAnsi="Times New Roman" w:cs="Times New Roman"/>
                <w:sz w:val="24"/>
                <w:szCs w:val="24"/>
                <w:lang w:val="uk-UA" w:eastAsia="ru-RU"/>
              </w:rPr>
              <w:t>березня</w:t>
            </w:r>
            <w:r w:rsidRPr="006A3A7B">
              <w:rPr>
                <w:rFonts w:ascii="Times New Roman" w:eastAsia="Times New Roman" w:hAnsi="Times New Roman" w:cs="Times New Roman"/>
                <w:sz w:val="24"/>
                <w:szCs w:val="24"/>
                <w:lang w:val="uk-UA" w:eastAsia="ru-RU"/>
              </w:rPr>
              <w:t xml:space="preserve"> 202</w:t>
            </w:r>
            <w:r w:rsidR="00996472">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B6DB7CE" w14:textId="1EE3986E" w:rsidR="00EF6B3D" w:rsidRPr="006A3A7B" w:rsidRDefault="00B15EF8"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із змінами згідно протокольного рішення Уповноваженої особи  № 03/_____-ВТ від ____.____________.2024 р.)</w:t>
            </w:r>
          </w:p>
          <w:p w14:paraId="3043800D" w14:textId="77777777" w:rsidR="00B15EF8" w:rsidRPr="00B15EF8" w:rsidRDefault="00B15EF8"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36DBFB46"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bookmarkStart w:id="0" w:name="_GoBack"/>
            <w:bookmarkEnd w:id="0"/>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6A7988AC" w14:textId="70A6C73C" w:rsidR="006B3332" w:rsidRPr="004A0536" w:rsidRDefault="00A47AA3" w:rsidP="006B3332">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r w:rsidR="005C1CD6" w:rsidRPr="005C1CD6">
        <w:rPr>
          <w:b/>
          <w:sz w:val="28"/>
          <w:szCs w:val="28"/>
          <w:lang w:val="uk-UA"/>
        </w:rPr>
        <w:t>90510000-5 — Утилізація/видалення сміття та поводження зі сміттям Єдиний закупівельний словник ДК 021:2015  (Вивезення твердих побутових відходів від об'єктів ОНМедУ за адресами їх розташування відповідно дислокації)</w:t>
      </w: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6890CEB"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996472">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B15EF8"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4E535A89" w:rsidR="00A47AA3" w:rsidRPr="006A3A7B" w:rsidRDefault="005C1CD6" w:rsidP="003747AA">
            <w:pPr>
              <w:widowControl w:val="0"/>
              <w:contextualSpacing/>
              <w:jc w:val="both"/>
              <w:rPr>
                <w:rFonts w:ascii="Times New Roman" w:eastAsia="Times New Roman" w:hAnsi="Times New Roman" w:cs="Times New Roman"/>
                <w:b/>
                <w:i/>
                <w:iCs/>
                <w:u w:val="single"/>
                <w:lang w:val="uk-UA" w:eastAsia="ru-RU"/>
              </w:rPr>
            </w:pPr>
            <w:r w:rsidRPr="00580AC8">
              <w:rPr>
                <w:rFonts w:ascii="Times New Roman" w:eastAsia="Times New Roman" w:hAnsi="Times New Roman" w:cs="Times New Roman"/>
                <w:b/>
                <w:i/>
                <w:u w:val="single"/>
                <w:lang w:val="uk-UA"/>
              </w:rPr>
              <w:t>90510000-5 — Утилізація</w:t>
            </w:r>
            <w:r>
              <w:rPr>
                <w:rFonts w:ascii="Times New Roman" w:eastAsia="Times New Roman" w:hAnsi="Times New Roman" w:cs="Times New Roman"/>
                <w:b/>
                <w:i/>
                <w:u w:val="single"/>
                <w:lang w:val="uk-UA"/>
              </w:rPr>
              <w:t>/видалення</w:t>
            </w:r>
            <w:r w:rsidRPr="00580AC8">
              <w:rPr>
                <w:rFonts w:ascii="Times New Roman" w:eastAsia="Times New Roman" w:hAnsi="Times New Roman" w:cs="Times New Roman"/>
                <w:b/>
                <w:i/>
                <w:u w:val="single"/>
                <w:lang w:val="uk-UA"/>
              </w:rPr>
              <w:t xml:space="preserve"> сміття та поводження зі сміттям </w:t>
            </w:r>
            <w:r w:rsidRPr="00AD2515">
              <w:rPr>
                <w:rFonts w:ascii="Times New Roman" w:eastAsia="Times New Roman" w:hAnsi="Times New Roman" w:cs="Times New Roman"/>
                <w:b/>
                <w:bCs/>
                <w:i/>
                <w:sz w:val="24"/>
                <w:szCs w:val="24"/>
                <w:u w:val="single"/>
                <w:lang w:val="uk-UA"/>
              </w:rPr>
              <w:t>Єдиний закупівельний словник ДК 021:2015</w:t>
            </w:r>
            <w:r w:rsidRPr="00580AC8">
              <w:rPr>
                <w:rFonts w:ascii="Times New Roman" w:eastAsia="Times New Roman" w:hAnsi="Times New Roman" w:cs="Times New Roman"/>
                <w:b/>
                <w:i/>
                <w:u w:val="single"/>
                <w:lang w:val="uk-UA"/>
              </w:rPr>
              <w:t xml:space="preserve"> </w:t>
            </w:r>
            <w:r>
              <w:rPr>
                <w:rFonts w:ascii="Times New Roman" w:eastAsia="Times New Roman" w:hAnsi="Times New Roman" w:cs="Times New Roman"/>
                <w:b/>
                <w:i/>
                <w:u w:val="single"/>
                <w:lang w:val="uk-UA"/>
              </w:rPr>
              <w:t xml:space="preserve"> </w:t>
            </w:r>
            <w:r w:rsidRPr="00580AC8">
              <w:rPr>
                <w:rFonts w:ascii="Times New Roman" w:eastAsia="Times New Roman" w:hAnsi="Times New Roman" w:cs="Times New Roman"/>
                <w:b/>
                <w:i/>
                <w:u w:val="single"/>
                <w:lang w:val="uk-UA"/>
              </w:rPr>
              <w:t>(Вивезення твердих побутових відходів від об'єктів ОНМедУ за адресами їх розташування відповідно дислокації)</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5C1CD6"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A58CA7B" w14:textId="77777777" w:rsidR="005C1CD6" w:rsidRPr="005C1CD6" w:rsidRDefault="00634836" w:rsidP="00996472">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5C1CD6" w:rsidRPr="005C1CD6">
              <w:rPr>
                <w:rFonts w:ascii="Times New Roman" w:hAnsi="Times New Roman"/>
                <w:b/>
                <w:bCs/>
                <w:i/>
                <w:iCs/>
                <w:color w:val="000000"/>
                <w:sz w:val="24"/>
                <w:szCs w:val="24"/>
                <w:u w:val="single"/>
                <w:shd w:val="clear" w:color="auto" w:fill="FFFFFF"/>
                <w:lang w:val="uk-UA"/>
              </w:rPr>
              <w:t>65000, Україна, Одеська область, м. Одеса, об’єкти ОНМедУ за адресами, відповідно до дислокації (Юридична адреса ОНМедУ:  65082, м.Одеса, пров. Валіховський 2)</w:t>
            </w:r>
          </w:p>
          <w:p w14:paraId="2710CD9B" w14:textId="7C5BE0F4" w:rsidR="00800D70" w:rsidRPr="006A3A7B" w:rsidRDefault="00634836" w:rsidP="005C1CD6">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5C1CD6">
              <w:rPr>
                <w:rFonts w:ascii="Times New Roman" w:hAnsi="Times New Roman"/>
                <w:b/>
                <w:bCs/>
                <w:i/>
                <w:iCs/>
                <w:color w:val="000000"/>
                <w:sz w:val="24"/>
                <w:szCs w:val="24"/>
                <w:u w:val="single"/>
                <w:shd w:val="clear" w:color="auto" w:fill="FFFFFF"/>
                <w:lang w:val="uk-UA"/>
              </w:rPr>
              <w:t>1587</w:t>
            </w:r>
            <w:r w:rsidR="009C34B8">
              <w:rPr>
                <w:rFonts w:ascii="Times New Roman" w:hAnsi="Times New Roman"/>
                <w:b/>
                <w:bCs/>
                <w:i/>
                <w:iCs/>
                <w:color w:val="000000"/>
                <w:sz w:val="24"/>
                <w:szCs w:val="24"/>
                <w:u w:val="single"/>
                <w:shd w:val="clear" w:color="auto" w:fill="FFFFFF"/>
                <w:lang w:val="uk-UA"/>
              </w:rPr>
              <w:t xml:space="preserve"> </w:t>
            </w:r>
            <w:r w:rsidR="00996472">
              <w:rPr>
                <w:rFonts w:ascii="Times New Roman" w:hAnsi="Times New Roman"/>
                <w:b/>
                <w:bCs/>
                <w:i/>
                <w:iCs/>
                <w:color w:val="000000"/>
                <w:sz w:val="24"/>
                <w:szCs w:val="24"/>
                <w:u w:val="single"/>
                <w:shd w:val="clear" w:color="auto" w:fill="FFFFFF"/>
                <w:lang w:val="uk-UA"/>
              </w:rPr>
              <w:t>послуг</w:t>
            </w:r>
            <w:r w:rsidR="009C34B8">
              <w:rPr>
                <w:rFonts w:ascii="Times New Roman" w:hAnsi="Times New Roman"/>
                <w:b/>
                <w:bCs/>
                <w:i/>
                <w:iCs/>
                <w:color w:val="000000"/>
                <w:sz w:val="24"/>
                <w:szCs w:val="24"/>
                <w:u w:val="single"/>
                <w:shd w:val="clear" w:color="auto" w:fill="FFFFFF"/>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3B5F1F2C" w:rsidR="00A47AA3" w:rsidRPr="006A3A7B" w:rsidRDefault="0073119C" w:rsidP="00996472">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w:t>
            </w:r>
            <w:r w:rsidR="00996472">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r w:rsidRPr="006A3A7B">
              <w:rPr>
                <w:rFonts w:ascii="Times New Roman" w:hAnsi="Times New Roman" w:cs="Times New Roman"/>
                <w:lang w:val="uk-UA" w:eastAsia="uk-UA"/>
              </w:rPr>
              <w:lastRenderedPageBreak/>
              <w:t>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1" w:name="n1979"/>
            <w:bookmarkEnd w:id="1"/>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w:t>
            </w:r>
            <w:r w:rsidRPr="006A3A7B">
              <w:rPr>
                <w:rFonts w:ascii="Times New Roman" w:hAnsi="Times New Roman" w:cs="Times New Roman"/>
                <w:lang w:val="uk-UA"/>
              </w:rPr>
              <w:lastRenderedPageBreak/>
              <w:t xml:space="preserve">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B15EF8"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lastRenderedPageBreak/>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13E968D9"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996472">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50BAB6B2"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5C1CD6">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 xml:space="preserve">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w:t>
            </w:r>
            <w:r w:rsidRPr="006A3A7B">
              <w:rPr>
                <w:rFonts w:ascii="Times New Roman" w:hAnsi="Times New Roman" w:cs="Times New Roman"/>
                <w:spacing w:val="1"/>
                <w:lang w:val="uk-UA"/>
              </w:rPr>
              <w:lastRenderedPageBreak/>
              <w:t>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2"/>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3"/>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B15EF8"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6A3A7B">
              <w:rPr>
                <w:rFonts w:ascii="Times New Roman" w:hAnsi="Times New Roman" w:cs="Times New Roman"/>
                <w:lang w:val="uk-UA"/>
              </w:rPr>
              <w:lastRenderedPageBreak/>
              <w:t xml:space="preserve">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w:t>
            </w:r>
            <w:r w:rsidRPr="006A3A7B">
              <w:rPr>
                <w:rFonts w:ascii="Times New Roman" w:hAnsi="Times New Roman" w:cs="Times New Roman"/>
                <w:b/>
                <w:shd w:val="clear" w:color="auto" w:fill="FFFFFF"/>
                <w:lang w:val="uk-UA"/>
              </w:rPr>
              <w:lastRenderedPageBreak/>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B15EF8"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w:t>
            </w:r>
            <w:r w:rsidRPr="006A3A7B">
              <w:rPr>
                <w:rFonts w:ascii="Times New Roman" w:hAnsi="Times New Roman" w:cs="Times New Roman"/>
                <w:bCs/>
                <w:lang w:val="uk-UA"/>
              </w:rPr>
              <w:lastRenderedPageBreak/>
              <w:t xml:space="preserve">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B15EF8"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B15EF8"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5D0A7441"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F83029">
              <w:rPr>
                <w:rFonts w:ascii="Times New Roman" w:eastAsia="Times New Roman" w:hAnsi="Times New Roman" w:cs="Times New Roman"/>
                <w:b/>
                <w:lang w:val="uk-UA" w:eastAsia="ru-RU"/>
              </w:rPr>
              <w:t>1</w:t>
            </w:r>
            <w:r w:rsidR="005C1CD6">
              <w:rPr>
                <w:rFonts w:ascii="Times New Roman" w:eastAsia="Times New Roman" w:hAnsi="Times New Roman" w:cs="Times New Roman"/>
                <w:b/>
                <w:lang w:val="uk-UA" w:eastAsia="ru-RU"/>
              </w:rPr>
              <w:t>3 березня</w:t>
            </w:r>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996472">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6A3A7B">
              <w:rPr>
                <w:rFonts w:ascii="Times New Roman" w:hAnsi="Times New Roman" w:cs="Times New Roman"/>
                <w:bCs/>
                <w:lang w:val="uk-UA"/>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6A3A7B">
              <w:rPr>
                <w:rFonts w:ascii="Times New Roman" w:hAnsi="Times New Roman" w:cs="Times New Roman"/>
                <w:lang w:val="uk-UA"/>
              </w:rPr>
              <w:lastRenderedPageBreak/>
              <w:t xml:space="preserve">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xml:space="preserve">. Інформація/документ, подана учасником процедури закупівлі у </w:t>
            </w:r>
            <w:r w:rsidRPr="006A3A7B">
              <w:rPr>
                <w:rFonts w:ascii="Times New Roman" w:hAnsi="Times New Roman" w:cs="Times New Roman"/>
                <w:lang w:val="uk-UA"/>
              </w:rPr>
              <w:lastRenderedPageBreak/>
              <w:t>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4. Окрема сторінка (сторінки) копії документа (документів) не завірена підписом та/або печаткою учасника процедури закупівлі (у </w:t>
            </w:r>
            <w:r w:rsidRPr="006A3A7B">
              <w:rPr>
                <w:rFonts w:ascii="Times New Roman" w:hAnsi="Times New Roman" w:cs="Times New Roman"/>
                <w:lang w:val="uk-UA"/>
              </w:rPr>
              <w:lastRenderedPageBreak/>
              <w:t>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w:t>
            </w:r>
            <w:r w:rsidRPr="006A3A7B">
              <w:rPr>
                <w:rFonts w:ascii="Times New Roman" w:hAnsi="Times New Roman" w:cs="Times New Roman"/>
                <w:bdr w:val="none" w:sz="0" w:space="0" w:color="auto" w:frame="1"/>
                <w:lang w:val="uk-UA"/>
              </w:rPr>
              <w:lastRenderedPageBreak/>
              <w:t>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lastRenderedPageBreak/>
              <w:t xml:space="preserve">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1C11323"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 xml:space="preserve">- </w:t>
            </w:r>
            <w:r w:rsidR="005C1CD6" w:rsidRPr="0080250F">
              <w:rPr>
                <w:rFonts w:ascii="Times New Roman" w:eastAsia="Times New Roman" w:hAnsi="Times New Roman" w:cs="Times New Roman"/>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w:t>
            </w:r>
            <w:r w:rsidR="00096F4C" w:rsidRPr="006A3A7B">
              <w:rPr>
                <w:rFonts w:ascii="Times New Roman" w:eastAsia="Times New Roman" w:hAnsi="Times New Roman" w:cs="Times New Roman"/>
                <w:lang w:val="uk-UA" w:eastAsia="ru-RU"/>
              </w:rPr>
              <w:lastRenderedPageBreak/>
              <w:t xml:space="preserve">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w:t>
            </w:r>
            <w:r w:rsidRPr="006A3A7B">
              <w:rPr>
                <w:rFonts w:ascii="Times New Roman" w:hAnsi="Times New Roman" w:cs="Times New Roman"/>
                <w:b/>
                <w:lang w:val="uk-UA"/>
              </w:rPr>
              <w:lastRenderedPageBreak/>
              <w:t>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w:t>
            </w:r>
            <w:r w:rsidRPr="006A3A7B">
              <w:rPr>
                <w:rFonts w:ascii="Times New Roman" w:hAnsi="Times New Roman" w:cs="Times New Roman"/>
                <w:lang w:val="uk-UA"/>
              </w:rPr>
              <w:lastRenderedPageBreak/>
              <w:t>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6A3A7B">
              <w:rPr>
                <w:sz w:val="22"/>
                <w:szCs w:val="22"/>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4A0536" w:rsidRDefault="004A0536" w:rsidP="00126BE7">
      <w:pPr>
        <w:spacing w:after="0" w:line="240" w:lineRule="auto"/>
      </w:pPr>
      <w:r>
        <w:separator/>
      </w:r>
    </w:p>
  </w:endnote>
  <w:endnote w:type="continuationSeparator" w:id="0">
    <w:p w14:paraId="38C5363F" w14:textId="77777777" w:rsidR="004A0536" w:rsidRDefault="004A0536"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3F4F7E67" w:rsidR="004A0536" w:rsidRPr="00273EE3" w:rsidRDefault="004A0536"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B15EF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4A0536" w:rsidRDefault="004A0536" w:rsidP="00126BE7">
      <w:pPr>
        <w:spacing w:after="0" w:line="240" w:lineRule="auto"/>
      </w:pPr>
      <w:r>
        <w:separator/>
      </w:r>
    </w:p>
  </w:footnote>
  <w:footnote w:type="continuationSeparator" w:id="0">
    <w:p w14:paraId="670A56FA" w14:textId="77777777" w:rsidR="004A0536" w:rsidRDefault="004A0536"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46C"/>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1CD6"/>
    <w:rsid w:val="005C7CC8"/>
    <w:rsid w:val="005D30F7"/>
    <w:rsid w:val="005E7C2C"/>
    <w:rsid w:val="005F598D"/>
    <w:rsid w:val="006000EE"/>
    <w:rsid w:val="00610A28"/>
    <w:rsid w:val="00612BD2"/>
    <w:rsid w:val="0061608C"/>
    <w:rsid w:val="00634836"/>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96472"/>
    <w:rsid w:val="009A4E4E"/>
    <w:rsid w:val="009B00DF"/>
    <w:rsid w:val="009C1F31"/>
    <w:rsid w:val="009C34B8"/>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5EF8"/>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64CE2"/>
    <w:rsid w:val="00F64F6E"/>
    <w:rsid w:val="00F732E4"/>
    <w:rsid w:val="00F83029"/>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B30C-FC55-467A-9F66-9800E308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52881</Words>
  <Characters>30143</Characters>
  <Application>Microsoft Office Word</Application>
  <DocSecurity>0</DocSecurity>
  <Lines>251</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2024-03-07T10:33:00Z</dcterms:created>
  <dcterms:modified xsi:type="dcterms:W3CDTF">2024-03-07T10:33:00Z</dcterms:modified>
</cp:coreProperties>
</file>