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6" w:rsidRDefault="00CF29E6" w:rsidP="00CF29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Затверджено </w:t>
      </w:r>
    </w:p>
    <w:p w:rsidR="00CF29E6" w:rsidRDefault="00CF29E6" w:rsidP="00CF29E6">
      <w:pPr>
        <w:framePr w:hSpace="180" w:wrap="around" w:vAnchor="text" w:hAnchor="margin" w:xAlign="center" w:y="236"/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протоколом уповноваженої особи </w:t>
      </w:r>
    </w:p>
    <w:p w:rsidR="00CF29E6" w:rsidRDefault="00CF29E6" w:rsidP="00CF29E6">
      <w:pPr>
        <w:framePr w:hSpace="180" w:wrap="around" w:vAnchor="text" w:hAnchor="margin" w:xAlign="center" w:y="236"/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 питань організації та проведення публічних закупівель</w:t>
      </w:r>
    </w:p>
    <w:p w:rsidR="00CF29E6" w:rsidRDefault="0036484B" w:rsidP="00CF29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 22.02.2024 року № 63</w:t>
      </w:r>
    </w:p>
    <w:p w:rsidR="00CF29E6" w:rsidRDefault="00CF29E6" w:rsidP="00C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9E6" w:rsidRDefault="00CF29E6" w:rsidP="00C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9E6" w:rsidRDefault="00CF29E6" w:rsidP="00CF2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ЗМІН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29E6" w:rsidRDefault="00CF29E6" w:rsidP="00CF2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вносяться до тендерної документації на закупівлю товару</w:t>
      </w:r>
    </w:p>
    <w:p w:rsidR="00CF29E6" w:rsidRDefault="00ED55B9" w:rsidP="00CF29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tgtFrame="_blank" w:tooltip="Оголошення на порталі Уповноваженого органу" w:history="1">
        <w:r w:rsidR="00CF29E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UA-2024-02-20-011211-a</w:t>
        </w:r>
      </w:hyperlink>
      <w:r w:rsidR="00CF29E6">
        <w:rPr>
          <w:rFonts w:ascii="Times New Roman" w:hAnsi="Times New Roman" w:cs="Times New Roman"/>
          <w:sz w:val="24"/>
          <w:szCs w:val="24"/>
        </w:rPr>
        <w:t xml:space="preserve"> – </w:t>
      </w:r>
      <w:r w:rsidR="00CF29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Овочі та фрукти </w:t>
      </w:r>
      <w:r w:rsidR="00CF29E6"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 </w:t>
      </w:r>
      <w:proofErr w:type="spellStart"/>
      <w:r w:rsidR="00CF29E6"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ДК</w:t>
      </w:r>
      <w:proofErr w:type="spellEnd"/>
      <w:r w:rsidR="00CF29E6"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021:2015 </w:t>
      </w:r>
      <w:proofErr w:type="spellStart"/>
      <w:r w:rsidR="00CF29E6"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“Єдиний</w:t>
      </w:r>
      <w:proofErr w:type="spellEnd"/>
      <w:r w:rsidR="00CF29E6"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закупівельний </w:t>
      </w:r>
      <w:proofErr w:type="spellStart"/>
      <w:r w:rsidR="00CF29E6"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словник”</w:t>
      </w:r>
      <w:proofErr w:type="spellEnd"/>
      <w:r w:rsidR="00CF29E6"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F29E6" w:rsidRPr="00CF29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r w:rsidR="00CF29E6" w:rsidRPr="00CF29E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03220000-9 - Овочі, фрукти та горіхи</w:t>
      </w:r>
    </w:p>
    <w:p w:rsidR="00CF29E6" w:rsidRDefault="00CF29E6" w:rsidP="00CF29E6">
      <w:pPr>
        <w:keepNext/>
        <w:rPr>
          <w:rFonts w:ascii="Times New Roman" w:hAnsi="Times New Roman" w:cs="Times New Roman"/>
          <w:sz w:val="24"/>
          <w:szCs w:val="24"/>
        </w:rPr>
      </w:pPr>
    </w:p>
    <w:p w:rsidR="00CF29E6" w:rsidRDefault="0036484B" w:rsidP="00CF29E6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F29E6">
        <w:rPr>
          <w:rFonts w:ascii="Times New Roman" w:hAnsi="Times New Roman" w:cs="Times New Roman"/>
          <w:sz w:val="24"/>
          <w:szCs w:val="24"/>
        </w:rPr>
        <w:t>.02.2024 р. до тендерної документації внесено наступні зміни:</w:t>
      </w:r>
    </w:p>
    <w:p w:rsidR="0036484B" w:rsidRDefault="0036484B" w:rsidP="0036484B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викласти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пункт 3 Розділу 5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документації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наступній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редакції</w:t>
      </w:r>
      <w:proofErr w:type="spellEnd"/>
    </w:p>
    <w:p w:rsidR="00CF29E6" w:rsidRDefault="00274458" w:rsidP="00274458">
      <w:pPr>
        <w:pStyle w:val="1"/>
        <w:widowControl w:val="0"/>
        <w:tabs>
          <w:tab w:val="left" w:pos="3570"/>
        </w:tabs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CF29E6" w:rsidRDefault="00CF29E6" w:rsidP="00CF29E6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/>
          <w:lang w:val="uk-UA"/>
        </w:rPr>
      </w:pPr>
    </w:p>
    <w:p w:rsidR="00CF29E6" w:rsidRDefault="00CF29E6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CF29E6" w:rsidRDefault="00CF29E6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tbl>
      <w:tblPr>
        <w:tblpPr w:leftFromText="180" w:rightFromText="180" w:vertAnchor="page" w:horzAnchor="margin" w:tblpXSpec="center" w:tblpY="10396"/>
        <w:tblW w:w="96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35"/>
        <w:gridCol w:w="1795"/>
        <w:gridCol w:w="7289"/>
      </w:tblGrid>
      <w:tr w:rsidR="0036484B" w:rsidRPr="00D62755" w:rsidTr="0036484B">
        <w:tc>
          <w:tcPr>
            <w:tcW w:w="535" w:type="dxa"/>
          </w:tcPr>
          <w:p w:rsidR="0036484B" w:rsidRPr="00D62755" w:rsidRDefault="0036484B" w:rsidP="00526D1E">
            <w:pPr>
              <w:pStyle w:val="1"/>
              <w:widowControl w:val="0"/>
              <w:spacing w:line="240" w:lineRule="auto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95" w:type="dxa"/>
          </w:tcPr>
          <w:p w:rsidR="0036484B" w:rsidRPr="00D62755" w:rsidRDefault="0036484B" w:rsidP="00526D1E">
            <w:pPr>
              <w:pStyle w:val="1"/>
              <w:widowControl w:val="0"/>
              <w:spacing w:line="240" w:lineRule="auto"/>
              <w:ind w:right="113"/>
              <w:rPr>
                <w:b/>
                <w:color w:val="auto"/>
                <w:lang w:val="uk-UA"/>
              </w:rPr>
            </w:pPr>
            <w:r w:rsidRPr="00D627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7289" w:type="dxa"/>
          </w:tcPr>
          <w:p w:rsidR="0036484B" w:rsidRPr="00D62755" w:rsidRDefault="0036484B" w:rsidP="00526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55">
              <w:rPr>
                <w:rFonts w:ascii="Times New Roman" w:hAnsi="Times New Roman" w:cs="Times New Roman"/>
                <w:sz w:val="24"/>
                <w:szCs w:val="24"/>
              </w:rPr>
              <w:t>Закупівля здійснюється згідно очікуваної вартості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 даного товару на 2024</w:t>
            </w:r>
            <w:r w:rsidRPr="00D62755">
              <w:rPr>
                <w:rFonts w:ascii="Times New Roman" w:hAnsi="Times New Roman" w:cs="Times New Roman"/>
                <w:sz w:val="24"/>
                <w:szCs w:val="24"/>
              </w:rPr>
              <w:t xml:space="preserve"> рік. Після укладення договору про закупівлю обсяги закупівлі можуть бути зменшені з урахуванням фактичного споживання товару та розміру фінансування.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 тендерної пропозиції та всі інші ціни повинні бути чітко визначені.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самостійно несе всі витрати, пов’язані з підготовкою та поданням його тендерної пропозиції. Замовник у будь-якому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розрахунку ціни  пропозиції не включаються будь-які витрати, понесені учасником у процесі проведення процедури закупівлі та укладення договору про закупівлю. Зазначені витрати сплачуються учасником за рахунок його прибутку. Понесені витрати не відшкодовуються (в тому числі  у разі відміни торгів чи визнання торгів такими, що не відбулися).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 будь-яких запитань або уточнень стосовно змісту та викладення вимог тендерної документації з боку учасників процедури закупівлі, які отримали цю документацію у встановленому порядку, означатиме, що учасники процедури закупівлі, що беруть участь в цих торгах, повністю усвідомлюють зміст цієї тендерної документації та вимоги, викладені Замовником при підготовці цієї закупівлі.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зі статт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358 Кримінального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одексу України.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Інші умови тендерної документації: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Учасники відповідають за зміст своїх тендерних пропозицій та повинні дотримуватись норм чинного законодавства України.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  У разі якщо учасник або переможець не повинен складати або відповідно до норм чинного законодавства (в тому числі у разі подання тендерної пропозиції учасником-нерезидентом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накладати електронний підпис,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 він надає лист-роз’яснення в довільній формі, у якому зазначає законодавчі підстави щодо ненадання відповідних документів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електронного підпису; або надає копію/ї роз'яснення/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державних органів щодо цього.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   Документи, що не передбачені законодавством для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не подаються ними у складі тендерної пропозиції.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 Відсутність документів, що не передбачені законодавством для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у складі тендерної пропозиції не може бути підставою для її відхилення замовником.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 Учасники торгів — нерезиденти для виконання вимог щодо подання документів, передбачених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Додатком 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тендерної документації, подають  у складі своєї пропозиції, документи, передбачені законодавством країн, де вони зареєстровані.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 Факт подання тендерної пропозиції учасником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фізичною особою чи фізичною особою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жодних окремих підтверджень не потрібно подавати в складі тендерної пропозиції.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усіх інших випадках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 несе виключно учасник процедури закупівлі, що подав тендерну пропозицію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жодних окремих підтверджень не потрібно подавати в складі тендерної пропозиції.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Документи, видані державними органами, повинні відповідати вимогам нормативних актів, відповідно до яких такі документи видані.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Учасник, який подав тендерну пропозицію, вважається таким, що згодний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закупівлю, викладеним 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документації, та буде дотримуватися умов своєї тендерної пропозиції протягом строку, встановленого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п. 4 Розділу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Якщо вимога в тендерній документації встановлена декілька разів, учасник/переможець може подати необхідний документ  або інформацію один раз.</w:t>
            </w:r>
          </w:p>
          <w:p w:rsidR="0036484B" w:rsidRDefault="0036484B" w:rsidP="00526D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Фактом подання тендерної пропозиції учасник підтверджує (жодних окремих підтверджень не потрібно подавати в складі тендерної пропозиції), 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 попередніх відносинах між  Учасником та Замовником таку оперативно-господарську/і санкцію/ї, передбачену/і пунктом 4 частини 1 статті 236 ГКУ, як відмова від встановлення господарських відносин на майбутнє, не було застосовано.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ропозиція учасника може містити документи з водяними знаками.</w:t>
            </w:r>
          </w:p>
          <w:p w:rsidR="0036484B" w:rsidRDefault="0036484B" w:rsidP="00526D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подавати):</w:t>
            </w:r>
          </w:p>
          <w:p w:rsidR="0036484B" w:rsidRDefault="0036484B" w:rsidP="00526D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:rsidR="0036484B" w:rsidRDefault="0036484B" w:rsidP="00526D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36484B" w:rsidRDefault="0036484B" w:rsidP="00526D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:rsidR="0036484B" w:rsidRPr="00D62755" w:rsidRDefault="0036484B" w:rsidP="00526D1E">
            <w:pPr>
              <w:pStyle w:val="1"/>
              <w:widowControl w:val="0"/>
              <w:tabs>
                <w:tab w:val="left" w:pos="5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7A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також враховувати, що в Україні </w:t>
            </w:r>
            <w:r w:rsidRPr="00D27A3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замовникам забороняється здійснювати публічні закупівлі товарів, робіт і послуг у громадян </w:t>
            </w:r>
            <w:r w:rsidRPr="00327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</w:t>
            </w:r>
            <w:proofErr w:type="spellStart"/>
            <w:r w:rsidRPr="00327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бенефіціарним</w:t>
            </w:r>
            <w:proofErr w:type="spellEnd"/>
            <w:r w:rsidRPr="00327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 w:rsidRPr="00327F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  <w:r w:rsidRPr="00327F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зі статтею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Кримінального кодексу України.</w:t>
            </w:r>
          </w:p>
          <w:p w:rsidR="0036484B" w:rsidRPr="00D62755" w:rsidRDefault="0036484B" w:rsidP="0052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7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*У разі застосування зазначеної санкції  Замовник приймає рішення про відмову учаснику в участі у процедурі закупівлі та відхиляє тендерну пропозицію учасника як таку, що не відповідає вимогам, установленим у тендерній документації відповідно до абзацу першого частини третьої статті 22 Закону.</w:t>
            </w:r>
          </w:p>
        </w:tc>
      </w:tr>
    </w:tbl>
    <w:p w:rsidR="00CF29E6" w:rsidRDefault="00CF29E6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274458" w:rsidRDefault="00274458" w:rsidP="00274458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викласти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пункт 5 Розділу 5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документації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наступній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редакції</w:t>
      </w:r>
      <w:proofErr w:type="spellEnd"/>
    </w:p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tbl>
      <w:tblPr>
        <w:tblpPr w:leftFromText="180" w:rightFromText="180" w:vertAnchor="page" w:horzAnchor="margin" w:tblpXSpec="center" w:tblpY="10396"/>
        <w:tblW w:w="96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35"/>
        <w:gridCol w:w="1795"/>
        <w:gridCol w:w="7289"/>
      </w:tblGrid>
      <w:tr w:rsidR="00274458" w:rsidRPr="00D62755" w:rsidTr="00EA0A33">
        <w:tc>
          <w:tcPr>
            <w:tcW w:w="535" w:type="dxa"/>
          </w:tcPr>
          <w:p w:rsidR="00274458" w:rsidRPr="00D62755" w:rsidRDefault="00274458" w:rsidP="00526D1E">
            <w:pPr>
              <w:pStyle w:val="1"/>
              <w:widowControl w:val="0"/>
              <w:spacing w:line="240" w:lineRule="auto"/>
              <w:rPr>
                <w:color w:val="auto"/>
                <w:lang w:val="uk-UA"/>
              </w:rPr>
            </w:pPr>
            <w:r w:rsidRPr="00D627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795" w:type="dxa"/>
          </w:tcPr>
          <w:p w:rsidR="00274458" w:rsidRPr="00D62755" w:rsidRDefault="00274458" w:rsidP="00526D1E">
            <w:pPr>
              <w:pStyle w:val="1"/>
              <w:widowControl w:val="0"/>
              <w:spacing w:line="240" w:lineRule="auto"/>
              <w:ind w:right="113"/>
              <w:rPr>
                <w:b/>
                <w:color w:val="auto"/>
                <w:lang w:val="uk-UA"/>
              </w:rPr>
            </w:pPr>
            <w:r w:rsidRPr="00D627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Відхилення тендерних пропозицій</w:t>
            </w:r>
          </w:p>
        </w:tc>
        <w:tc>
          <w:tcPr>
            <w:tcW w:w="7289" w:type="dxa"/>
            <w:vAlign w:val="center"/>
          </w:tcPr>
          <w:p w:rsidR="00274458" w:rsidRPr="000F7442" w:rsidRDefault="00274458" w:rsidP="0052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bookmarkStart w:id="0" w:name="h.3rdcrjn" w:colFirst="0" w:colLast="0"/>
            <w:bookmarkEnd w:id="0"/>
            <w:r w:rsidRPr="000F7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 відхиляє тендерну пропозицію із зазначенням аргументації в електронній системі закупівель у разі, коли: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 учасник процедури закупівлі: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підпадає під підстави, встановлені пунктом 47 цих особливостей;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забезпечення тендерної пропозиції, якщо таке забезпечення вимагалося замовником;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невідповідностей, протягом 24 годин з моменту розміщення замовником в електронній системі закупівель повідомлення з вимогою про усунення таких невідповідностей;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визначив конфіденційною інформацію, що не може бути визначена як конфіденційна відповідно до вимог пункту 40 цих особливостей;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є громадянином </w:t>
            </w:r>
            <w:r w:rsidRPr="00327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</w:t>
            </w:r>
            <w:proofErr w:type="spellStart"/>
            <w:r w:rsidRPr="00327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бенефіціарним</w:t>
            </w:r>
            <w:proofErr w:type="spellEnd"/>
            <w:r w:rsidRPr="00327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; або пропонує в тендерній пропозиції товари походженням з </w:t>
            </w:r>
            <w:r w:rsidRPr="00327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Російської Федерації/Республіки Білорусь/Ісламської Республіки Іран, 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</w:t>
            </w:r>
            <w:r w:rsidRPr="00327F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Кабінету Міністрів України від 12 жовтня 2022 р.  № 1178 </w:t>
            </w:r>
            <w:proofErr w:type="spellStart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“Про</w:t>
            </w:r>
            <w:proofErr w:type="spellEnd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затвердження особливостей </w:t>
            </w: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здійснення публічних закупівель товарів, робіт і послуг для замовників, передбачених Законом України </w:t>
            </w:r>
            <w:proofErr w:type="spellStart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“Про</w:t>
            </w:r>
            <w:proofErr w:type="spellEnd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публічні </w:t>
            </w:r>
            <w:proofErr w:type="spellStart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закупівлі”</w:t>
            </w:r>
            <w:proofErr w:type="spellEnd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на період дії правового режиму воєнного стану в Україні та протягом 90 днів з дня його припинення або </w:t>
            </w:r>
            <w:proofErr w:type="spellStart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скасування”</w:t>
            </w:r>
            <w:proofErr w:type="spellEnd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(Офіційний вісник України, 2022 р., № 84, ст. 5176);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2) тендерна пропозиція: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</w:t>
            </w:r>
            <w:hyperlink r:id="rId8" w:anchor="n131">
              <w:r w:rsidRPr="000F7442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пункту 4</w:t>
              </w:r>
            </w:hyperlink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цих особливостей;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такою, строк дії якої закінчився;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3) переможець процедури закупівлі: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 може відхилити тендерну пропозицію із зазначенням аргументації в електронній системі закупівель у разі, коли:</w:t>
            </w:r>
          </w:p>
          <w:p w:rsidR="00274458" w:rsidRPr="000F7442" w:rsidRDefault="00274458" w:rsidP="00526D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 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:rsidR="00274458" w:rsidRPr="000F7442" w:rsidRDefault="00274458" w:rsidP="00526D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2) учасник процедури закупівлі не виконав свої зобов’язання за раніше укладеним договором про закупівлю 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:rsidR="00274458" w:rsidRPr="000F7442" w:rsidRDefault="00274458" w:rsidP="0052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</w:t>
            </w: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одного дня з дати ухвалення рішення оприлюднюється в електронній системі закупівель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закупівель.</w:t>
            </w:r>
          </w:p>
          <w:p w:rsidR="00274458" w:rsidRPr="00D62755" w:rsidRDefault="00274458" w:rsidP="00526D1E">
            <w:pPr>
              <w:autoSpaceDE w:val="0"/>
              <w:autoSpaceDN w:val="0"/>
              <w:adjustRightInd w:val="0"/>
              <w:spacing w:after="0" w:line="240" w:lineRule="auto"/>
              <w:ind w:firstLine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не пізніш як через чотири дні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надходження такого звернення через електронну систему закупівель, але до моменту оприлюднення договору про закупівлю в електронній системі закупівель відповідно до статті 10 Закону.</w:t>
            </w:r>
          </w:p>
        </w:tc>
      </w:tr>
    </w:tbl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tbl>
      <w:tblPr>
        <w:tblpPr w:leftFromText="180" w:rightFromText="180" w:vertAnchor="page" w:horzAnchor="margin" w:tblpXSpec="center" w:tblpY="10396"/>
        <w:tblW w:w="96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35"/>
        <w:gridCol w:w="1795"/>
        <w:gridCol w:w="7289"/>
      </w:tblGrid>
      <w:tr w:rsidR="00576903" w:rsidRPr="00D62755" w:rsidTr="00526D1E">
        <w:tc>
          <w:tcPr>
            <w:tcW w:w="535" w:type="dxa"/>
          </w:tcPr>
          <w:p w:rsidR="00576903" w:rsidRPr="00D62755" w:rsidRDefault="00576903" w:rsidP="00526D1E">
            <w:pPr>
              <w:pStyle w:val="1"/>
              <w:widowControl w:val="0"/>
              <w:spacing w:line="240" w:lineRule="auto"/>
              <w:rPr>
                <w:color w:val="auto"/>
                <w:lang w:val="uk-UA"/>
              </w:rPr>
            </w:pPr>
            <w:r w:rsidRPr="00D627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95" w:type="dxa"/>
          </w:tcPr>
          <w:p w:rsidR="00576903" w:rsidRPr="00D62755" w:rsidRDefault="00576903" w:rsidP="00526D1E">
            <w:pPr>
              <w:pStyle w:val="1"/>
              <w:widowControl w:val="0"/>
              <w:spacing w:line="240" w:lineRule="auto"/>
              <w:ind w:right="113"/>
              <w:jc w:val="both"/>
              <w:rPr>
                <w:b/>
                <w:color w:val="auto"/>
                <w:lang w:val="uk-UA"/>
              </w:rPr>
            </w:pPr>
            <w:r w:rsidRPr="00D627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7289" w:type="dxa"/>
          </w:tcPr>
          <w:p w:rsidR="00576903" w:rsidRPr="00D62755" w:rsidRDefault="00576903" w:rsidP="00526D1E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color w:val="auto"/>
                <w:lang w:val="uk-UA"/>
              </w:rPr>
            </w:pPr>
            <w:r w:rsidRPr="00D627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Кінцевий строк подання тендерних пропозицій: </w:t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softHyphen/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softHyphen/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softHyphen/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softHyphen/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29.02.2024</w:t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року до 00:00 год</w:t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.</w:t>
            </w:r>
          </w:p>
          <w:p w:rsidR="00576903" w:rsidRPr="00D62755" w:rsidRDefault="00576903" w:rsidP="00526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576903" w:rsidRPr="00D62755" w:rsidRDefault="00576903" w:rsidP="00526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576903" w:rsidRPr="00D62755" w:rsidRDefault="00576903" w:rsidP="00526D1E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color w:val="auto"/>
                <w:lang w:val="uk-UA"/>
              </w:rPr>
            </w:pP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6903" w:rsidRDefault="00576903" w:rsidP="00576903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викласти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пункт 1 Розділу 4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документації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наступній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редакції</w:t>
      </w:r>
      <w:proofErr w:type="spellEnd"/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sectPr w:rsidR="00576903" w:rsidSect="00ED5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4B" w:rsidRDefault="0036484B" w:rsidP="0036484B">
      <w:pPr>
        <w:spacing w:after="0" w:line="240" w:lineRule="auto"/>
      </w:pPr>
      <w:r>
        <w:separator/>
      </w:r>
    </w:p>
  </w:endnote>
  <w:endnote w:type="continuationSeparator" w:id="1">
    <w:p w:rsidR="0036484B" w:rsidRDefault="0036484B" w:rsidP="0036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4B" w:rsidRDefault="0036484B" w:rsidP="0036484B">
      <w:pPr>
        <w:spacing w:after="0" w:line="240" w:lineRule="auto"/>
      </w:pPr>
      <w:r>
        <w:separator/>
      </w:r>
    </w:p>
  </w:footnote>
  <w:footnote w:type="continuationSeparator" w:id="1">
    <w:p w:rsidR="0036484B" w:rsidRDefault="0036484B" w:rsidP="0036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4E6A"/>
    <w:multiLevelType w:val="hybridMultilevel"/>
    <w:tmpl w:val="1A302722"/>
    <w:lvl w:ilvl="0" w:tplc="F998D7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9E6"/>
    <w:rsid w:val="00274458"/>
    <w:rsid w:val="0036484B"/>
    <w:rsid w:val="00576903"/>
    <w:rsid w:val="00A54920"/>
    <w:rsid w:val="00CF29E6"/>
    <w:rsid w:val="00DB42A6"/>
    <w:rsid w:val="00E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lp1,List Paragraph.List 1.0,List Paragraph.List 1.01,List Paragraph.List 1.02,Colorful List - Accent 11,Elenco Normale,FooterText,lp11,Steps,List Paragraph Char Char,SGLText List Paragraph,Normal Sentence,b"/>
    <w:basedOn w:val="a"/>
    <w:link w:val="a4"/>
    <w:uiPriority w:val="34"/>
    <w:qFormat/>
    <w:rsid w:val="00CF29E6"/>
    <w:pPr>
      <w:ind w:left="720"/>
      <w:contextualSpacing/>
    </w:pPr>
    <w:rPr>
      <w:lang w:bidi="ar-SA"/>
    </w:rPr>
  </w:style>
  <w:style w:type="character" w:customStyle="1" w:styleId="a4">
    <w:name w:val="Абзац списка Знак"/>
    <w:aliases w:val="Список уровня 2 Знак,название табл/рис Знак,lp1 Знак,List Paragraph.List 1.0 Знак,List Paragraph.List 1.01 Знак,List Paragraph.List 1.02 Знак,Colorful List - Accent 11 Знак,Elenco Normale Знак,FooterText Знак,lp11 Знак,Steps Знак"/>
    <w:link w:val="a3"/>
    <w:uiPriority w:val="34"/>
    <w:locked/>
    <w:rsid w:val="00CF29E6"/>
    <w:rPr>
      <w:lang w:bidi="ar-SA"/>
    </w:rPr>
  </w:style>
  <w:style w:type="character" w:customStyle="1" w:styleId="normal">
    <w:name w:val="normal Знак"/>
    <w:link w:val="1"/>
    <w:locked/>
    <w:rsid w:val="00CF29E6"/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Обычный1"/>
    <w:link w:val="normal"/>
    <w:qFormat/>
    <w:rsid w:val="00CF29E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F29E6"/>
    <w:rPr>
      <w:color w:val="0000FF"/>
      <w:u w:val="single"/>
    </w:rPr>
  </w:style>
  <w:style w:type="paragraph" w:customStyle="1" w:styleId="10">
    <w:name w:val="Звичайний1"/>
    <w:rsid w:val="0036484B"/>
    <w:pPr>
      <w:spacing w:after="160" w:line="259" w:lineRule="auto"/>
    </w:pPr>
    <w:rPr>
      <w:rFonts w:ascii="Calibri" w:eastAsia="Calibri" w:hAnsi="Calibri" w:cs="Calibri"/>
      <w:lang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3648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484B"/>
  </w:style>
  <w:style w:type="paragraph" w:styleId="a8">
    <w:name w:val="footer"/>
    <w:basedOn w:val="a"/>
    <w:link w:val="a9"/>
    <w:uiPriority w:val="99"/>
    <w:semiHidden/>
    <w:unhideWhenUsed/>
    <w:rsid w:val="003648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9-26-013170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9970</Words>
  <Characters>5683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2024-02-20T14:24:00Z</dcterms:created>
  <dcterms:modified xsi:type="dcterms:W3CDTF">2024-02-22T14:08:00Z</dcterms:modified>
</cp:coreProperties>
</file>