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BC1646">
        <w:rPr>
          <w:rFonts w:ascii="Times New Roman" w:eastAsia="Times New Roman" w:hAnsi="Times New Roman" w:cs="Times New Roman"/>
          <w:b/>
          <w:bCs/>
          <w:i/>
          <w:iCs/>
          <w:color w:val="000000"/>
          <w:sz w:val="24"/>
          <w:szCs w:val="24"/>
          <w:lang w:val="uk-UA" w:eastAsia="ru-RU"/>
        </w:rPr>
        <w:t>Додаток 1</w:t>
      </w:r>
    </w:p>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BC1646">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002464B2" w:rsidRPr="00BC1646">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BC1646">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752309" w:rsidRPr="00BC1646"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hAnsi="Times New Roman" w:cs="Times New Roman"/>
                <w:i/>
                <w:sz w:val="24"/>
                <w:szCs w:val="24"/>
              </w:rPr>
              <w:t>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BD59C7" w:rsidRPr="00BC1646" w:rsidRDefault="00BD59C7" w:rsidP="00BD59C7">
            <w:pPr>
              <w:spacing w:after="0" w:line="240" w:lineRule="auto"/>
              <w:contextualSpacing/>
              <w:jc w:val="both"/>
              <w:rPr>
                <w:rFonts w:ascii="Times New Roman" w:hAnsi="Times New Roman" w:cs="Times New Roman"/>
                <w:color w:val="000000"/>
                <w:sz w:val="24"/>
                <w:szCs w:val="24"/>
              </w:rPr>
            </w:pPr>
            <w:r w:rsidRPr="00BC1646">
              <w:rPr>
                <w:rFonts w:ascii="Times New Roman" w:hAnsi="Times New Roman" w:cs="Times New Roman"/>
                <w:color w:val="000000"/>
                <w:sz w:val="24"/>
                <w:szCs w:val="24"/>
              </w:rPr>
              <w:t>Учасниками у складі тендерної пропозиції надаються:</w:t>
            </w:r>
          </w:p>
          <w:p w:rsidR="00BD59C7" w:rsidRPr="00BC1646" w:rsidRDefault="00BD59C7" w:rsidP="00BD59C7">
            <w:pPr>
              <w:spacing w:after="0" w:line="240" w:lineRule="auto"/>
              <w:contextualSpacing/>
              <w:jc w:val="both"/>
              <w:rPr>
                <w:rFonts w:ascii="Times New Roman" w:hAnsi="Times New Roman" w:cs="Times New Roman"/>
                <w:color w:val="000000"/>
                <w:sz w:val="24"/>
                <w:szCs w:val="24"/>
              </w:rPr>
            </w:pP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1.1.Довідка,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BC1646">
              <w:rPr>
                <w:rFonts w:ascii="Times New Roman" w:hAnsi="Times New Roman" w:cs="Times New Roman"/>
                <w:b/>
                <w:color w:val="000000"/>
                <w:sz w:val="24"/>
                <w:szCs w:val="24"/>
                <w:lang w:val="uk-UA"/>
              </w:rPr>
              <w:t xml:space="preserve"> </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 xml:space="preserve">- спеціалізованого автотранспорту для перевезення продуктів харчування у відповідності до предмету закупівлі: </w:t>
            </w:r>
            <w:r w:rsidRPr="00BC1646">
              <w:rPr>
                <w:rFonts w:ascii="Times New Roman" w:hAnsi="Times New Roman" w:cs="Times New Roman"/>
                <w:i/>
                <w:color w:val="000000"/>
                <w:sz w:val="24"/>
                <w:szCs w:val="24"/>
                <w:lang w:val="uk-UA"/>
              </w:rPr>
              <w:t>рефрижератор із зазначенням реєстраційного номеру автомобіля та виду (типу) кузову (не менше двох одиниць)</w:t>
            </w:r>
            <w:r w:rsidRPr="00BC1646">
              <w:rPr>
                <w:rFonts w:ascii="Times New Roman" w:hAnsi="Times New Roman" w:cs="Times New Roman"/>
                <w:color w:val="000000"/>
                <w:sz w:val="24"/>
                <w:szCs w:val="24"/>
                <w:lang w:val="uk-UA"/>
              </w:rPr>
              <w:t>;</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 складського приміщення (із зазначенням температурного режиму) з адресою розташування.</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 xml:space="preserve">-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w:t>
            </w:r>
            <w:r w:rsidRPr="00BC1646">
              <w:rPr>
                <w:rFonts w:ascii="Times New Roman" w:hAnsi="Times New Roman" w:cs="Times New Roman"/>
                <w:color w:val="000000"/>
                <w:sz w:val="24"/>
                <w:szCs w:val="24"/>
                <w:lang w:val="uk-UA"/>
              </w:rPr>
              <w:lastRenderedPageBreak/>
              <w:t>строком оренди до кінця  2024 року).</w:t>
            </w:r>
          </w:p>
          <w:p w:rsidR="00F12455" w:rsidRPr="00BC1646" w:rsidRDefault="00F12455" w:rsidP="00F12455">
            <w:pPr>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Для підтвердження технічних якостей транспортних засобів Учасник надає документ, що підтверджує проведення повірку засобу вимірювальної техніки, яке задіяне в обігу товару, згідно з ст.45 ЗУ «Про основні принципи та вимоги до безпечності та якості харчових продуктів».</w:t>
            </w:r>
          </w:p>
          <w:p w:rsidR="00F12455" w:rsidRPr="00BC1646" w:rsidRDefault="00F12455" w:rsidP="00F12455">
            <w:pPr>
              <w:pStyle w:val="a5"/>
              <w:ind w:firstLine="45"/>
              <w:jc w:val="both"/>
              <w:rPr>
                <w:rFonts w:ascii="Times New Roman" w:hAnsi="Times New Roman"/>
                <w:bCs/>
                <w:color w:val="000000"/>
                <w:sz w:val="24"/>
                <w:szCs w:val="24"/>
              </w:rPr>
            </w:pPr>
            <w:r w:rsidRPr="00BC1646">
              <w:rPr>
                <w:rFonts w:ascii="Times New Roman" w:hAnsi="Times New Roman"/>
                <w:bCs/>
                <w:color w:val="000000"/>
                <w:sz w:val="24"/>
                <w:szCs w:val="24"/>
              </w:rPr>
              <w:t>Для підтвердження дотримання температурних параметрів Учасник має подати наступні документи:</w:t>
            </w:r>
          </w:p>
          <w:p w:rsidR="00BD59C7" w:rsidRPr="00BC1646" w:rsidRDefault="00F12455" w:rsidP="00BA490C">
            <w:pPr>
              <w:spacing w:after="0" w:line="240" w:lineRule="auto"/>
              <w:jc w:val="both"/>
              <w:rPr>
                <w:rFonts w:ascii="Times New Roman" w:hAnsi="Times New Roman" w:cs="Times New Roman"/>
                <w:color w:val="000000"/>
                <w:sz w:val="24"/>
                <w:szCs w:val="24"/>
                <w:lang w:val="uk-UA"/>
              </w:rPr>
            </w:pPr>
            <w:r w:rsidRPr="00BC1646">
              <w:rPr>
                <w:rFonts w:ascii="Times New Roman" w:hAnsi="Times New Roman" w:cs="Times New Roman"/>
                <w:bCs/>
                <w:color w:val="000000"/>
                <w:sz w:val="24"/>
                <w:szCs w:val="24"/>
                <w:lang w:val="uk-UA"/>
              </w:rPr>
              <w:t xml:space="preserve">- </w:t>
            </w:r>
            <w:r w:rsidRPr="0083195B">
              <w:rPr>
                <w:rFonts w:ascii="Times New Roman" w:hAnsi="Times New Roman" w:cs="Times New Roman"/>
                <w:color w:val="000000"/>
                <w:sz w:val="24"/>
                <w:szCs w:val="24"/>
              </w:rPr>
              <w:t>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документів</w:t>
            </w:r>
            <w:r w:rsidR="00BA490C" w:rsidRPr="0083195B">
              <w:rPr>
                <w:rFonts w:ascii="Times New Roman" w:hAnsi="Times New Roman" w:cs="Times New Roman"/>
                <w:color w:val="000000"/>
                <w:sz w:val="24"/>
                <w:szCs w:val="24"/>
                <w:lang w:val="uk-UA"/>
              </w:rPr>
              <w:t>, що підтверджують повноваження органу на проведення таких робіт</w:t>
            </w:r>
            <w:r w:rsidRPr="0083195B">
              <w:rPr>
                <w:rFonts w:ascii="Times New Roman" w:hAnsi="Times New Roman" w:cs="Times New Roman"/>
                <w:color w:val="000000"/>
                <w:sz w:val="24"/>
                <w:szCs w:val="24"/>
              </w:rPr>
              <w:t>), та дійсний на момент подання пропозиції.</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lastRenderedPageBreak/>
              <w:t>2</w:t>
            </w:r>
          </w:p>
        </w:tc>
        <w:tc>
          <w:tcPr>
            <w:tcW w:w="3669"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hAnsi="Times New Roman" w:cs="Times New Roman"/>
                <w:i/>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BD59C7" w:rsidRPr="00BC1646" w:rsidRDefault="00BD59C7" w:rsidP="00BD59C7">
            <w:pPr>
              <w:spacing w:after="0" w:line="240" w:lineRule="auto"/>
              <w:contextualSpacing/>
              <w:jc w:val="both"/>
              <w:rPr>
                <w:rFonts w:ascii="Times New Roman" w:hAnsi="Times New Roman" w:cs="Times New Roman"/>
                <w:color w:val="000000"/>
                <w:sz w:val="24"/>
                <w:szCs w:val="24"/>
              </w:rPr>
            </w:pPr>
            <w:r w:rsidRPr="00BC1646">
              <w:rPr>
                <w:rFonts w:ascii="Times New Roman" w:hAnsi="Times New Roman" w:cs="Times New Roman"/>
                <w:color w:val="000000"/>
                <w:sz w:val="24"/>
                <w:szCs w:val="24"/>
              </w:rPr>
              <w:t>Учасниками у складі тендерної пропозиції надаються:</w:t>
            </w:r>
          </w:p>
          <w:p w:rsidR="00BD59C7" w:rsidRPr="00BC1646"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F12455" w:rsidRPr="00BC1646" w:rsidRDefault="00BD59C7" w:rsidP="00F12455">
            <w:pPr>
              <w:pStyle w:val="20"/>
              <w:spacing w:after="0" w:line="240" w:lineRule="auto"/>
              <w:ind w:left="0"/>
              <w:jc w:val="both"/>
              <w:rPr>
                <w:rFonts w:ascii="Times New Roman" w:hAnsi="Times New Roman" w:cs="Times New Roman"/>
                <w:color w:val="000000"/>
                <w:sz w:val="24"/>
                <w:szCs w:val="24"/>
                <w:lang w:val="uk-UA" w:eastAsia="ru-RU"/>
              </w:rPr>
            </w:pPr>
            <w:r w:rsidRPr="00BC1646">
              <w:rPr>
                <w:rFonts w:ascii="Times New Roman" w:hAnsi="Times New Roman" w:cs="Times New Roman"/>
                <w:color w:val="000000"/>
                <w:sz w:val="24"/>
                <w:szCs w:val="24"/>
                <w:lang w:val="uk-UA"/>
              </w:rPr>
              <w:t>2</w:t>
            </w:r>
            <w:r w:rsidR="00F12455" w:rsidRPr="00BC1646">
              <w:rPr>
                <w:rFonts w:ascii="Times New Roman" w:hAnsi="Times New Roman" w:cs="Times New Roman"/>
                <w:color w:val="000000"/>
                <w:sz w:val="24"/>
                <w:szCs w:val="24"/>
                <w:lang w:val="uk-UA"/>
              </w:rPr>
              <w:t xml:space="preserve">.1. </w:t>
            </w:r>
            <w:r w:rsidR="00F12455" w:rsidRPr="00BC1646">
              <w:rPr>
                <w:rFonts w:ascii="Times New Roman CYR" w:hAnsi="Times New Roman CYR" w:cs="Times New Roman CYR"/>
                <w:color w:val="000000"/>
                <w:sz w:val="24"/>
                <w:szCs w:val="24"/>
                <w:lang w:val="uk-UA" w:eastAsia="zh-CN"/>
              </w:rPr>
              <w:t>Довідка, що підтверджує наявність працівників, відповідної кваліфікації, які мають необхідні знання та досвід</w:t>
            </w:r>
            <w:r w:rsidR="00F12455" w:rsidRPr="00BC1646">
              <w:rPr>
                <w:rFonts w:ascii="Times New Roman" w:hAnsi="Times New Roman" w:cs="Times New Roman"/>
                <w:color w:val="000000"/>
                <w:sz w:val="24"/>
                <w:szCs w:val="24"/>
                <w:lang w:val="uk-UA"/>
              </w:rPr>
              <w:t>, у якій обов’язково Учасник повинен зазначити ПІБ, посада кожного з працівників, які працюють в Учасника та відомості про освіту.</w:t>
            </w:r>
          </w:p>
          <w:p w:rsidR="00F12455" w:rsidRPr="00BC1646" w:rsidRDefault="00F12455" w:rsidP="00F12455">
            <w:pPr>
              <w:pStyle w:val="20"/>
              <w:spacing w:after="0" w:line="240" w:lineRule="auto"/>
              <w:ind w:left="0"/>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t>2.2. Учасник у складі тендерної пропозиції надає Скан-копії оригіналів особових медичних книжок водіїв та/або експедиторів, вантажників та комірників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дані працівники працюють в учасника.</w:t>
            </w:r>
          </w:p>
          <w:p w:rsidR="00BD59C7" w:rsidRPr="00BC1646" w:rsidRDefault="00BD59C7" w:rsidP="00BD59C7">
            <w:pPr>
              <w:spacing w:after="0" w:line="240" w:lineRule="auto"/>
              <w:jc w:val="both"/>
              <w:rPr>
                <w:rFonts w:ascii="Times New Roman" w:eastAsia="Times New Roman" w:hAnsi="Times New Roman" w:cs="Times New Roman"/>
                <w:color w:val="000000"/>
                <w:lang w:val="uk-UA" w:eastAsia="ru-RU"/>
              </w:rPr>
            </w:pPr>
          </w:p>
        </w:tc>
      </w:tr>
      <w:tr w:rsidR="00752309"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3</w:t>
            </w:r>
            <w:r w:rsidR="00752309" w:rsidRPr="00BC1646">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752309" w:rsidRPr="00BC1646" w:rsidRDefault="00752309"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 xml:space="preserve">Наявність документально підтвердженого досвіду виконання аналогічного </w:t>
            </w:r>
            <w:r w:rsidRPr="00BC1646">
              <w:rPr>
                <w:rFonts w:ascii="Times New Roman" w:eastAsia="Times New Roman" w:hAnsi="Times New Roman" w:cs="Times New Roman"/>
                <w:b/>
                <w:bCs/>
                <w:color w:val="000000"/>
                <w:sz w:val="24"/>
                <w:szCs w:val="24"/>
                <w:lang w:val="uk-UA" w:eastAsia="ru-RU"/>
              </w:rPr>
              <w:lastRenderedPageBreak/>
              <w:t>(аналогічних)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BD59C7" w:rsidRPr="00BC1646" w:rsidRDefault="00BD59C7" w:rsidP="00BD59C7">
            <w:pPr>
              <w:spacing w:after="0" w:line="240" w:lineRule="auto"/>
              <w:contextualSpacing/>
              <w:jc w:val="both"/>
              <w:rPr>
                <w:rFonts w:ascii="Times New Roman" w:hAnsi="Times New Roman" w:cs="Times New Roman"/>
                <w:color w:val="000000"/>
                <w:sz w:val="24"/>
                <w:szCs w:val="24"/>
              </w:rPr>
            </w:pPr>
            <w:r w:rsidRPr="00BC1646">
              <w:rPr>
                <w:rFonts w:ascii="Times New Roman" w:hAnsi="Times New Roman" w:cs="Times New Roman"/>
                <w:color w:val="000000"/>
                <w:sz w:val="24"/>
                <w:szCs w:val="24"/>
              </w:rPr>
              <w:lastRenderedPageBreak/>
              <w:t>Учасниками у складі тендерної пропозиції надаються:</w:t>
            </w:r>
          </w:p>
          <w:p w:rsidR="00BD59C7" w:rsidRPr="00BC1646"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F12455" w:rsidRDefault="00BD59C7" w:rsidP="00F12455">
            <w:pPr>
              <w:pStyle w:val="20"/>
              <w:spacing w:after="0" w:line="240" w:lineRule="auto"/>
              <w:ind w:left="0"/>
              <w:jc w:val="both"/>
              <w:rPr>
                <w:rFonts w:ascii="Times New Roman" w:hAnsi="Times New Roman" w:cs="Times New Roman"/>
                <w:color w:val="000000"/>
                <w:sz w:val="24"/>
                <w:szCs w:val="24"/>
                <w:lang w:val="uk-UA"/>
              </w:rPr>
            </w:pPr>
            <w:r w:rsidRPr="00BC1646">
              <w:rPr>
                <w:rFonts w:ascii="Times New Roman" w:hAnsi="Times New Roman" w:cs="Times New Roman"/>
                <w:color w:val="000000"/>
                <w:sz w:val="24"/>
                <w:szCs w:val="24"/>
                <w:lang w:val="uk-UA"/>
              </w:rPr>
              <w:lastRenderedPageBreak/>
              <w:t>3</w:t>
            </w:r>
            <w:r w:rsidR="00F12455" w:rsidRPr="00BC1646">
              <w:rPr>
                <w:rFonts w:ascii="Times New Roman" w:hAnsi="Times New Roman" w:cs="Times New Roman"/>
                <w:color w:val="000000"/>
                <w:sz w:val="24"/>
                <w:szCs w:val="24"/>
                <w:lang w:val="uk-UA"/>
              </w:rPr>
              <w:t xml:space="preserve">.1. Довідка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з адресами та контактними телефонами, </w:t>
            </w:r>
            <w:r w:rsidR="00F12455" w:rsidRPr="00BC1646">
              <w:rPr>
                <w:rFonts w:ascii="Times New Roman" w:hAnsi="Times New Roman" w:cs="Times New Roman"/>
                <w:bCs/>
                <w:color w:val="000000"/>
                <w:sz w:val="24"/>
                <w:szCs w:val="24"/>
                <w:lang w:val="uk-UA" w:eastAsia="zh-CN"/>
              </w:rPr>
              <w:t>ПІБ керівників контрагентів, номер, дати укладання та</w:t>
            </w:r>
            <w:r w:rsidR="00F12455" w:rsidRPr="00BC1646">
              <w:rPr>
                <w:rFonts w:ascii="Times New Roman" w:hAnsi="Times New Roman" w:cs="Times New Roman"/>
                <w:color w:val="000000"/>
                <w:sz w:val="24"/>
                <w:szCs w:val="24"/>
                <w:lang w:val="uk-UA"/>
              </w:rPr>
              <w:t xml:space="preserve"> суми договорів (договору) та стану виконання, в тому числі своєчасності виконання цих договорів (цього договору), які укладені в 2021-2022 роках, разом із копією аналогічного договору, що вказаний в довідці, та не менше одного відгуку, завірених учасником, від замовника. Відгуки повинні містити інформацію про якість поставленого товару, своєчасність, наявність чи відсутність зауважень, а також суму виконання договору.</w:t>
            </w:r>
          </w:p>
          <w:p w:rsidR="00896B05" w:rsidRPr="00BC1646" w:rsidRDefault="00896B05" w:rsidP="00F12455">
            <w:pPr>
              <w:pStyle w:val="20"/>
              <w:spacing w:after="0" w:line="240" w:lineRule="auto"/>
              <w:ind w:left="0"/>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896B05">
              <w:rPr>
                <w:rFonts w:ascii="Times New Roman" w:hAnsi="Times New Roman" w:cs="Times New Roman"/>
                <w:color w:val="000000"/>
                <w:sz w:val="24"/>
                <w:szCs w:val="24"/>
                <w:lang w:val="uk-UA" w:eastAsia="ru-RU"/>
              </w:rPr>
              <w:t>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r>
              <w:rPr>
                <w:rFonts w:ascii="Times New Roman" w:hAnsi="Times New Roman" w:cs="Times New Roman"/>
                <w:color w:val="000000"/>
                <w:sz w:val="24"/>
                <w:szCs w:val="24"/>
                <w:lang w:val="uk-UA" w:eastAsia="ru-RU"/>
              </w:rPr>
              <w:t>.</w:t>
            </w:r>
            <w:bookmarkStart w:id="0" w:name="_GoBack"/>
            <w:bookmarkEnd w:id="0"/>
          </w:p>
          <w:p w:rsidR="00752309" w:rsidRPr="00BC1646" w:rsidRDefault="00F12455" w:rsidP="00F12455">
            <w:pPr>
              <w:spacing w:after="0" w:line="240" w:lineRule="auto"/>
              <w:jc w:val="both"/>
              <w:rPr>
                <w:rFonts w:ascii="Times New Roman" w:eastAsia="Times New Roman" w:hAnsi="Times New Roman" w:cs="Times New Roman"/>
                <w:color w:val="000000"/>
                <w:lang w:val="uk-UA" w:eastAsia="ru-RU"/>
              </w:rPr>
            </w:pPr>
            <w:r w:rsidRPr="00BC1646">
              <w:rPr>
                <w:rFonts w:ascii="Times New Roman" w:hAnsi="Times New Roman" w:cs="Times New Roman"/>
                <w:color w:val="000000"/>
                <w:lang w:val="uk-UA"/>
              </w:rPr>
              <w:t>3.2. Досвід виконання договорів за 2021-2022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BC1646">
              <w:rPr>
                <w:rFonts w:ascii="Times New Roman" w:hAnsi="Times New Roman" w:cs="Times New Roman"/>
                <w:color w:val="000000"/>
                <w:lang w:val="uk-UA" w:eastAsia="uk-UA"/>
              </w:rPr>
              <w:t>.</w:t>
            </w:r>
          </w:p>
        </w:tc>
      </w:tr>
    </w:tbl>
    <w:p w:rsidR="00752309" w:rsidRPr="00BC1646"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BC1646"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w:t>
            </w:r>
            <w:r w:rsidRPr="00BC1646">
              <w:rPr>
                <w:rFonts w:ascii="Times New Roman" w:eastAsia="Times New Roman" w:hAnsi="Times New Roman" w:cs="Times New Roman"/>
                <w:b/>
                <w:bCs/>
                <w:color w:val="000000"/>
                <w:sz w:val="24"/>
                <w:szCs w:val="24"/>
                <w:lang w:eastAsia="uk-UA"/>
              </w:rPr>
              <w:lastRenderedPageBreak/>
              <w:t>закупівель:</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BC1646">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pStyle w:val="a4"/>
              <w:spacing w:before="0" w:beforeAutospacing="0" w:after="0" w:afterAutospacing="0"/>
              <w:jc w:val="both"/>
            </w:pPr>
            <w:r w:rsidRPr="00BC1646">
              <w:rPr>
                <w:color w:val="000000"/>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BC1646">
              <w:rPr>
                <w:rFonts w:ascii="Times New Roman" w:eastAsia="Times New Roman" w:hAnsi="Times New Roman" w:cs="Times New Roman"/>
                <w:color w:val="000000"/>
                <w:sz w:val="24"/>
                <w:szCs w:val="24"/>
                <w:lang w:eastAsia="uk-UA"/>
              </w:rPr>
              <w:t xml:space="preserve"> (</w:t>
            </w:r>
            <w:r w:rsidRPr="00BC1646">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BC1646">
              <w:rPr>
                <w:rFonts w:ascii="Times New Roman" w:eastAsia="Times New Roman" w:hAnsi="Times New Roman" w:cs="Times New Roman"/>
                <w:color w:val="000000"/>
                <w:sz w:val="24"/>
                <w:szCs w:val="24"/>
                <w:lang w:eastAsia="uk-UA"/>
              </w:rPr>
              <w:t xml:space="preserve"> як</w:t>
            </w:r>
            <w:r w:rsidRPr="00BC1646">
              <w:rPr>
                <w:rFonts w:ascii="Times New Roman" w:eastAsia="Times New Roman" w:hAnsi="Times New Roman" w:cs="Times New Roman"/>
                <w:color w:val="000000"/>
                <w:sz w:val="24"/>
                <w:szCs w:val="24"/>
                <w:lang w:val="uk-UA" w:eastAsia="uk-UA"/>
              </w:rPr>
              <w:t>а</w:t>
            </w:r>
            <w:r w:rsidRPr="00BC1646">
              <w:rPr>
                <w:rFonts w:ascii="Times New Roman" w:eastAsia="Times New Roman" w:hAnsi="Times New Roman" w:cs="Times New Roman"/>
                <w:color w:val="000000"/>
                <w:sz w:val="24"/>
                <w:szCs w:val="24"/>
                <w:lang w:eastAsia="uk-UA"/>
              </w:rPr>
              <w:t xml:space="preserve"> / як</w:t>
            </w:r>
            <w:r w:rsidRPr="00BC1646">
              <w:rPr>
                <w:rFonts w:ascii="Times New Roman" w:eastAsia="Times New Roman" w:hAnsi="Times New Roman" w:cs="Times New Roman"/>
                <w:color w:val="000000"/>
                <w:sz w:val="24"/>
                <w:szCs w:val="24"/>
                <w:lang w:val="uk-UA" w:eastAsia="uk-UA"/>
              </w:rPr>
              <w:t>ий</w:t>
            </w:r>
            <w:r w:rsidRPr="00BC1646">
              <w:rPr>
                <w:rFonts w:ascii="Times New Roman" w:eastAsia="Times New Roman" w:hAnsi="Times New Roman" w:cs="Times New Roman"/>
                <w:color w:val="000000"/>
                <w:sz w:val="24"/>
                <w:szCs w:val="24"/>
                <w:lang w:eastAsia="uk-UA"/>
              </w:rPr>
              <w:t xml:space="preserve"> оформлена на </w:t>
            </w:r>
            <w:r w:rsidRPr="00BC1646">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BC1646">
              <w:rPr>
                <w:rFonts w:ascii="Times New Roman" w:eastAsia="Times New Roman" w:hAnsi="Times New Roman" w:cs="Times New Roman"/>
                <w:b/>
                <w:bCs/>
                <w:i/>
                <w:color w:val="000000"/>
                <w:sz w:val="24"/>
                <w:szCs w:val="24"/>
                <w:lang w:eastAsia="uk-UA"/>
              </w:rPr>
              <w:t>  (Відповідно до листа Мінекономіки від 23.06.2022 р. № 3323-</w:t>
            </w:r>
            <w:r w:rsidRPr="00BC1646">
              <w:rPr>
                <w:rFonts w:ascii="Times New Roman" w:eastAsia="Times New Roman" w:hAnsi="Times New Roman" w:cs="Times New Roman"/>
                <w:b/>
                <w:bCs/>
                <w:i/>
                <w:color w:val="000000"/>
                <w:sz w:val="24"/>
                <w:szCs w:val="24"/>
                <w:lang w:eastAsia="uk-UA"/>
              </w:rPr>
              <w:lastRenderedPageBreak/>
              <w:t xml:space="preserve">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BC1646">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BC1646">
              <w:rPr>
                <w:rFonts w:ascii="Times New Roman" w:eastAsia="Times New Roman" w:hAnsi="Times New Roman" w:cs="Times New Roman"/>
                <w:b/>
                <w:color w:val="000000"/>
                <w:sz w:val="24"/>
                <w:szCs w:val="24"/>
                <w:lang w:val="uk-UA" w:eastAsia="uk-UA"/>
              </w:rPr>
              <w:t xml:space="preserve">не </w:t>
            </w:r>
            <w:r w:rsidRPr="00BC1646">
              <w:rPr>
                <w:rFonts w:ascii="Times New Roman" w:eastAsia="Times New Roman" w:hAnsi="Times New Roman" w:cs="Times New Roman"/>
                <w:b/>
                <w:color w:val="000000"/>
                <w:sz w:val="24"/>
                <w:szCs w:val="24"/>
                <w:lang w:eastAsia="uk-UA"/>
              </w:rPr>
              <w:t>було</w:t>
            </w:r>
            <w:r w:rsidRPr="00BC1646">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BC1646">
              <w:rPr>
                <w:rFonts w:ascii="Times New Roman" w:eastAsia="Times New Roman" w:hAnsi="Times New Roman" w:cs="Times New Roman"/>
                <w:color w:val="000000"/>
                <w:sz w:val="24"/>
                <w:szCs w:val="24"/>
                <w:lang w:val="uk-UA" w:eastAsia="uk-UA"/>
              </w:rPr>
              <w:t>.</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BC1646">
              <w:rPr>
                <w:rFonts w:ascii="Times New Roman" w:eastAsia="Times New Roman" w:hAnsi="Times New Roman" w:cs="Times New Roman"/>
                <w:color w:val="000000"/>
                <w:sz w:val="24"/>
                <w:szCs w:val="24"/>
                <w:shd w:val="clear" w:color="auto" w:fill="FFFFFF"/>
                <w:lang w:eastAsia="uk-UA"/>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C1646">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BC1646">
              <w:rPr>
                <w:rFonts w:ascii="Times New Roman" w:eastAsia="Times New Roman" w:hAnsi="Times New Roman" w:cs="Times New Roman"/>
                <w:color w:val="000000"/>
                <w:sz w:val="24"/>
                <w:szCs w:val="24"/>
                <w:lang w:eastAsia="uk-UA"/>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BC1646">
              <w:rPr>
                <w:rFonts w:ascii="Times New Roman" w:eastAsia="Times New Roman" w:hAnsi="Times New Roman" w:cs="Times New Roman"/>
                <w:color w:val="000000"/>
                <w:sz w:val="24"/>
                <w:szCs w:val="24"/>
                <w:lang w:val="uk-UA" w:eastAsia="uk-UA"/>
              </w:rPr>
              <w:t>.</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BC1646">
              <w:rPr>
                <w:rFonts w:ascii="Times New Roman" w:eastAsia="Times New Roman" w:hAnsi="Times New Roman" w:cs="Times New Roman"/>
                <w:color w:val="000000"/>
                <w:sz w:val="24"/>
                <w:szCs w:val="24"/>
                <w:shd w:val="clear" w:color="auto" w:fill="FFFFFF"/>
                <w:lang w:eastAsia="uk-UA"/>
              </w:rPr>
              <w:lastRenderedPageBreak/>
              <w:t xml:space="preserve">керівником замовника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BC1646">
              <w:rPr>
                <w:rFonts w:ascii="Times New Roman" w:eastAsia="Times New Roman" w:hAnsi="Times New Roman" w:cs="Times New Roman"/>
                <w:color w:val="000000"/>
                <w:sz w:val="24"/>
                <w:szCs w:val="24"/>
                <w:lang w:eastAsia="uk-UA"/>
              </w:rPr>
              <w:lastRenderedPageBreak/>
              <w:t>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i/>
                <w:iCs/>
                <w:color w:val="000000"/>
                <w:sz w:val="24"/>
                <w:szCs w:val="24"/>
                <w:lang w:eastAsia="uk-UA"/>
              </w:rPr>
              <w:t> </w:t>
            </w:r>
          </w:p>
          <w:p w:rsidR="00E529C5" w:rsidRPr="00BC1646" w:rsidRDefault="00E529C5" w:rsidP="00E529C5">
            <w:pPr>
              <w:spacing w:line="240" w:lineRule="auto"/>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C1646">
              <w:rPr>
                <w:rFonts w:ascii="Times New Roman" w:eastAsia="Times New Roman" w:hAnsi="Times New Roman" w:cs="Times New Roman"/>
                <w:color w:val="000000"/>
                <w:sz w:val="24"/>
                <w:szCs w:val="24"/>
                <w:shd w:val="clear" w:color="auto" w:fill="FFFFFF"/>
                <w:lang w:val="uk-UA" w:eastAsia="uk-UA"/>
              </w:rPr>
              <w:t>у неї</w:t>
            </w:r>
            <w:r w:rsidRPr="00BC1646">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BC1646">
              <w:rPr>
                <w:rFonts w:ascii="Times New Roman" w:eastAsia="Times New Roman" w:hAnsi="Times New Roman" w:cs="Times New Roman"/>
                <w:sz w:val="28"/>
                <w:szCs w:val="28"/>
                <w:lang w:val="uk-UA" w:eastAsia="ru-RU"/>
              </w:rPr>
              <w:t xml:space="preserve"> </w:t>
            </w:r>
            <w:r w:rsidRPr="00BC1646">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C1646">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Замовник може прийняти рішення про відмову </w:t>
            </w:r>
            <w:r w:rsidRPr="00BC1646">
              <w:rPr>
                <w:rFonts w:ascii="Times New Roman" w:eastAsia="Times New Roman" w:hAnsi="Times New Roman" w:cs="Times New Roman"/>
                <w:color w:val="000000"/>
                <w:sz w:val="24"/>
                <w:szCs w:val="24"/>
                <w:lang w:eastAsia="uk-UA"/>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C1646">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529C5" w:rsidRPr="00BC1646"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29C5" w:rsidRPr="00BC1646" w:rsidRDefault="00E529C5" w:rsidP="00E529C5">
            <w:pPr>
              <w:spacing w:line="240" w:lineRule="auto"/>
              <w:ind w:left="50"/>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 </w:t>
            </w:r>
          </w:p>
          <w:p w:rsidR="00E529C5" w:rsidRPr="00BC1646"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w:t>
            </w:r>
            <w:r w:rsidRPr="00BC1646">
              <w:rPr>
                <w:rFonts w:ascii="Times New Roman" w:eastAsia="Times New Roman" w:hAnsi="Times New Roman" w:cs="Times New Roman"/>
                <w:color w:val="000000"/>
                <w:sz w:val="24"/>
                <w:szCs w:val="24"/>
                <w:lang w:eastAsia="uk-UA"/>
              </w:rPr>
              <w:lastRenderedPageBreak/>
              <w:t xml:space="preserve">що між ним і замовником не було укладено договору про закупівлю за </w:t>
            </w:r>
            <w:proofErr w:type="gramStart"/>
            <w:r w:rsidRPr="00BC1646">
              <w:rPr>
                <w:rFonts w:ascii="Times New Roman" w:eastAsia="Times New Roman" w:hAnsi="Times New Roman" w:cs="Times New Roman"/>
                <w:color w:val="000000"/>
                <w:sz w:val="24"/>
                <w:szCs w:val="24"/>
                <w:lang w:eastAsia="uk-UA"/>
              </w:rPr>
              <w:t>яким  переможець</w:t>
            </w:r>
            <w:proofErr w:type="gramEnd"/>
            <w:r w:rsidRPr="00BC1646">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29C5" w:rsidRPr="00BC1646"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1646">
        <w:rPr>
          <w:rFonts w:ascii="Times New Roman" w:eastAsia="Times New Roman" w:hAnsi="Times New Roman" w:cs="Times New Roman"/>
          <w:b/>
          <w:color w:val="000000"/>
          <w:sz w:val="24"/>
          <w:szCs w:val="24"/>
          <w:lang w:val="uk-UA" w:eastAsia="uk-UA"/>
        </w:rPr>
        <w:t>на керівника юридичної особи</w:t>
      </w:r>
      <w:r w:rsidRPr="00BC1646">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BC1646">
        <w:rPr>
          <w:rFonts w:ascii="Times New Roman" w:eastAsia="Times New Roman" w:hAnsi="Times New Roman" w:cs="Times New Roman"/>
          <w:color w:val="000000"/>
          <w:sz w:val="24"/>
          <w:szCs w:val="24"/>
          <w:lang w:eastAsia="uk-UA"/>
        </w:rPr>
        <w:t> </w:t>
      </w:r>
    </w:p>
    <w:p w:rsidR="00E529C5" w:rsidRPr="00BC1646"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w:t>
      </w:r>
    </w:p>
    <w:p w:rsidR="00E529C5" w:rsidRPr="00BC1646" w:rsidRDefault="00E529C5" w:rsidP="00E529C5">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E529C5" w:rsidRPr="00BC1646" w:rsidTr="00E529C5">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529C5" w:rsidRPr="00BC1646" w:rsidRDefault="00E529C5" w:rsidP="00E529C5">
            <w:pPr>
              <w:spacing w:after="0" w:line="240" w:lineRule="auto"/>
              <w:ind w:left="100"/>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Інші документи від Учасника:</w:t>
            </w:r>
          </w:p>
        </w:tc>
      </w:tr>
    </w:tbl>
    <w:p w:rsidR="00E529C5" w:rsidRPr="00BC1646"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E529C5" w:rsidRPr="00896B05" w:rsidTr="00E529C5">
        <w:trPr>
          <w:trHeight w:val="3024"/>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 xml:space="preserve"> </w:t>
            </w:r>
            <w:r w:rsidRPr="00BC1646">
              <w:rPr>
                <w:rFonts w:ascii="Times New Roman" w:eastAsia="Times New Roman" w:hAnsi="Times New Roman" w:cs="Times New Roman"/>
                <w:b/>
                <w:bCs/>
                <w:color w:val="000000"/>
                <w:sz w:val="24"/>
                <w:szCs w:val="24"/>
                <w:lang w:val="uk-UA" w:eastAsia="ru-RU"/>
              </w:rPr>
              <w:t xml:space="preserve">1.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копія паспорта (1-6 сторінки та місце проживання) у випадку, якщо такий паспорт оформлено у вигляді книжечки,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(цей пункт стосується лише учасників - фізичних осіб,  фізичних осіб- підприємців).</w:t>
            </w:r>
          </w:p>
        </w:tc>
      </w:tr>
      <w:tr w:rsidR="00E529C5" w:rsidRPr="00BC1646" w:rsidTr="00E529C5">
        <w:trPr>
          <w:trHeight w:val="807"/>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494184">
            <w:pPr>
              <w:spacing w:after="0" w:line="240" w:lineRule="auto"/>
              <w:ind w:left="100"/>
              <w:jc w:val="both"/>
              <w:rPr>
                <w:rFonts w:ascii="Times New Roman" w:eastAsia="Times New Roman" w:hAnsi="Times New Roman" w:cs="Times New Roman"/>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w:t>
            </w:r>
            <w:r w:rsidR="00494184" w:rsidRPr="00BC1646">
              <w:rPr>
                <w:rFonts w:ascii="Times New Roman" w:eastAsia="Times New Roman" w:hAnsi="Times New Roman" w:cs="Times New Roman"/>
                <w:color w:val="000000"/>
                <w:sz w:val="24"/>
                <w:szCs w:val="24"/>
                <w:lang w:val="uk-UA" w:eastAsia="ru-RU"/>
              </w:rPr>
              <w:t xml:space="preserve"> -юридичної особи</w:t>
            </w:r>
            <w:r w:rsidRPr="00BC1646">
              <w:rPr>
                <w:rFonts w:ascii="Times New Roman" w:eastAsia="Times New Roman" w:hAnsi="Times New Roman" w:cs="Times New Roman"/>
                <w:color w:val="000000"/>
                <w:sz w:val="24"/>
                <w:szCs w:val="24"/>
                <w:lang w:val="uk-UA" w:eastAsia="ru-RU"/>
              </w:rPr>
              <w:t>, зазначеним у Єдиному державному реєстрі юридичних осіб, фізичних осіб-підприємців та громадських формувань, а іншою особою,</w:t>
            </w:r>
            <w:r w:rsidR="00494184" w:rsidRPr="00BC1646">
              <w:rPr>
                <w:rFonts w:ascii="Times New Roman" w:eastAsia="Times New Roman" w:hAnsi="Times New Roman" w:cs="Times New Roman"/>
                <w:color w:val="000000"/>
                <w:sz w:val="24"/>
                <w:szCs w:val="24"/>
                <w:lang w:val="uk-UA" w:eastAsia="ru-RU"/>
              </w:rPr>
              <w:t xml:space="preserve"> що не передбачено статутом або іншим установчим документом,</w:t>
            </w:r>
            <w:r w:rsidRPr="00BC1646">
              <w:rPr>
                <w:rFonts w:ascii="Times New Roman" w:eastAsia="Times New Roman" w:hAnsi="Times New Roman" w:cs="Times New Roman"/>
                <w:color w:val="000000"/>
                <w:sz w:val="24"/>
                <w:szCs w:val="24"/>
                <w:lang w:val="uk-UA" w:eastAsia="ru-RU"/>
              </w:rPr>
              <w:t xml:space="preserve"> учасник надає довіреність на таку особу</w:t>
            </w:r>
            <w:r w:rsidR="00494184" w:rsidRPr="00BC1646">
              <w:rPr>
                <w:rFonts w:ascii="Times New Roman" w:eastAsia="Times New Roman" w:hAnsi="Times New Roman" w:cs="Times New Roman"/>
                <w:color w:val="000000"/>
                <w:sz w:val="24"/>
                <w:szCs w:val="24"/>
                <w:lang w:val="uk-UA" w:eastAsia="ru-RU"/>
              </w:rPr>
              <w:t>, оформлену у встановленому законодавством порядку.</w:t>
            </w:r>
          </w:p>
        </w:tc>
      </w:tr>
      <w:tr w:rsidR="00E529C5" w:rsidRPr="00BC1646" w:rsidTr="00E529C5">
        <w:trPr>
          <w:trHeight w:val="873"/>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Також, учасник надає:</w:t>
            </w:r>
          </w:p>
          <w:p w:rsidR="00E529C5" w:rsidRPr="00BC1646" w:rsidRDefault="0083195B" w:rsidP="00E529C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529C5" w:rsidRPr="00BC1646">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витяг/свідоцтво про сплату ПДВ/єдиного податку;</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r w:rsidR="00E529C5" w:rsidRPr="00896B05" w:rsidTr="00E529C5">
        <w:trPr>
          <w:trHeight w:val="2289"/>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lastRenderedPageBreak/>
              <w:t>4</w:t>
            </w:r>
          </w:p>
        </w:tc>
        <w:tc>
          <w:tcPr>
            <w:tcW w:w="7574" w:type="dxa"/>
            <w:tcBorders>
              <w:top w:val="single" w:sz="8" w:space="0" w:color="000000"/>
              <w:left w:val="single" w:sz="8" w:space="0" w:color="000000"/>
              <w:bottom w:val="single" w:sz="8" w:space="0" w:color="000000"/>
              <w:right w:val="single" w:sz="8" w:space="0" w:color="000000"/>
            </w:tcBorders>
          </w:tcPr>
          <w:p w:rsidR="00E529C5" w:rsidRPr="00713E05" w:rsidRDefault="00E529C5" w:rsidP="00E529C5">
            <w:pPr>
              <w:keepNext/>
              <w:keepLines/>
              <w:ind w:right="120"/>
              <w:contextualSpacing/>
              <w:jc w:val="both"/>
              <w:rPr>
                <w:rFonts w:ascii="Times New Roman" w:eastAsia="Times New Roman" w:hAnsi="Times New Roman" w:cs="Times New Roman"/>
                <w:sz w:val="24"/>
                <w:szCs w:val="24"/>
                <w:lang w:val="uk-UA" w:eastAsia="ru-RU"/>
              </w:rPr>
            </w:pPr>
            <w:r w:rsidRPr="00BC1646">
              <w:rPr>
                <w:rFonts w:ascii="Times New Roman" w:eastAsia="Times New Roman" w:hAnsi="Times New Roman" w:cs="Times New Roman"/>
                <w:sz w:val="24"/>
                <w:szCs w:val="24"/>
                <w:lang w:val="uk-UA" w:eastAsia="ru-RU"/>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2).</w:t>
            </w:r>
            <w:r w:rsidRPr="00951220">
              <w:rPr>
                <w:rFonts w:ascii="Times New Roman" w:eastAsia="Times New Roman" w:hAnsi="Times New Roman" w:cs="Times New Roman"/>
                <w:sz w:val="24"/>
                <w:szCs w:val="24"/>
                <w:lang w:val="uk-UA" w:eastAsia="ru-RU"/>
              </w:rPr>
              <w:t xml:space="preserve"> </w:t>
            </w:r>
          </w:p>
        </w:tc>
      </w:tr>
    </w:tbl>
    <w:p w:rsidR="00752309" w:rsidRPr="00E529C5" w:rsidRDefault="00752309" w:rsidP="00752309">
      <w:pPr>
        <w:tabs>
          <w:tab w:val="left" w:pos="993"/>
        </w:tabs>
        <w:ind w:firstLine="568"/>
        <w:jc w:val="both"/>
        <w:rPr>
          <w:lang w:val="uk-UA"/>
        </w:rPr>
      </w:pPr>
    </w:p>
    <w:sectPr w:rsidR="00752309" w:rsidRPr="00E529C5"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752309"/>
    <w:rsid w:val="000F528C"/>
    <w:rsid w:val="00187AD8"/>
    <w:rsid w:val="0019016F"/>
    <w:rsid w:val="002464B2"/>
    <w:rsid w:val="003361D3"/>
    <w:rsid w:val="00471D2E"/>
    <w:rsid w:val="00494184"/>
    <w:rsid w:val="004C1C1F"/>
    <w:rsid w:val="006B5B49"/>
    <w:rsid w:val="007130CB"/>
    <w:rsid w:val="007261BF"/>
    <w:rsid w:val="00752309"/>
    <w:rsid w:val="0083195B"/>
    <w:rsid w:val="00896B05"/>
    <w:rsid w:val="008F642F"/>
    <w:rsid w:val="009307BC"/>
    <w:rsid w:val="009F7C99"/>
    <w:rsid w:val="00A662F4"/>
    <w:rsid w:val="00B87669"/>
    <w:rsid w:val="00BA490C"/>
    <w:rsid w:val="00BB3999"/>
    <w:rsid w:val="00BC1646"/>
    <w:rsid w:val="00BD59C7"/>
    <w:rsid w:val="00E2789F"/>
    <w:rsid w:val="00E529C5"/>
    <w:rsid w:val="00F12455"/>
    <w:rsid w:val="00F40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368"/>
  <w15:docId w15:val="{5BD37CCD-99CB-45F0-BC9C-B89FBDF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 w:type="paragraph" w:styleId="a5">
    <w:name w:val="No Spacing"/>
    <w:aliases w:val="nado12,Bullet"/>
    <w:link w:val="a6"/>
    <w:uiPriority w:val="1"/>
    <w:qFormat/>
    <w:rsid w:val="00F12455"/>
    <w:pPr>
      <w:suppressAutoHyphens/>
      <w:spacing w:after="0" w:line="240" w:lineRule="auto"/>
    </w:pPr>
    <w:rPr>
      <w:rFonts w:ascii="Calibri" w:eastAsia="Times New Roman" w:hAnsi="Calibri" w:cs="Times New Roman"/>
      <w:lang w:eastAsia="zh-CN"/>
    </w:rPr>
  </w:style>
  <w:style w:type="character" w:customStyle="1" w:styleId="a6">
    <w:name w:val="Без интервала Знак"/>
    <w:aliases w:val="nado12 Знак,Bullet Знак"/>
    <w:link w:val="a5"/>
    <w:uiPriority w:val="1"/>
    <w:rsid w:val="00F12455"/>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19</cp:revision>
  <dcterms:created xsi:type="dcterms:W3CDTF">2022-10-19T18:14:00Z</dcterms:created>
  <dcterms:modified xsi:type="dcterms:W3CDTF">2023-12-22T20:08:00Z</dcterms:modified>
</cp:coreProperties>
</file>