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A4" w:rsidRDefault="006C3BA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40EC" w:rsidRDefault="004740E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3BA4" w:rsidRDefault="0091639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6C3BA4" w:rsidRDefault="0091639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40EC" w:rsidRDefault="004740E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6C3BA4" w:rsidRDefault="009163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6C3BA4" w:rsidRDefault="006C3B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E54017" w:rsidRDefault="0091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  <w:r w:rsidR="00E540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54017" w:rsidRDefault="00E54017" w:rsidP="00E540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 п</w:t>
      </w:r>
      <w:r w:rsidRPr="00E5401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ослуг захищеного доступу до мережі Інтернет (основний канал)</w:t>
      </w:r>
    </w:p>
    <w:p w:rsidR="004740EC" w:rsidRPr="00E54017" w:rsidRDefault="004740EC" w:rsidP="00E540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E54017" w:rsidRPr="00E54017" w:rsidRDefault="00E54017" w:rsidP="00E54017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tbl>
      <w:tblPr>
        <w:tblW w:w="96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40"/>
        <w:gridCol w:w="4860"/>
      </w:tblGrid>
      <w:tr w:rsidR="006C3BA4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BA4" w:rsidRDefault="0091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BA4" w:rsidRDefault="008D25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Послуги захищеного доступу до мережі Інтернет (основний канал)</w:t>
            </w:r>
          </w:p>
        </w:tc>
      </w:tr>
      <w:tr w:rsidR="006C3BA4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BA4" w:rsidRDefault="0091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BA4" w:rsidRDefault="008D25D6" w:rsidP="008D25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72410000-7</w:t>
            </w:r>
            <w:r w:rsidR="001364D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 Послуги провайдерів</w:t>
            </w:r>
          </w:p>
        </w:tc>
      </w:tr>
      <w:tr w:rsidR="006C3BA4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BA4" w:rsidRDefault="00916390" w:rsidP="00E94C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Pr="00D053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номенклатурної позиції предмета закупівлі та код послуги</w:t>
            </w:r>
            <w:r w:rsidRPr="00D053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визначеного згідно з Єдиним закупівельним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словником, що найбільше відповідає назві номенклатурної позиції предмета закупівлі 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BA4" w:rsidRDefault="00136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72411000-4, Постачальники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Інтернет-послуг</w:t>
            </w:r>
            <w:proofErr w:type="spellEnd"/>
          </w:p>
        </w:tc>
      </w:tr>
      <w:tr w:rsidR="006C3BA4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BA4" w:rsidRPr="00872129" w:rsidRDefault="00916390" w:rsidP="00766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надання послуг 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BA4" w:rsidRDefault="00872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 послуга</w:t>
            </w:r>
          </w:p>
        </w:tc>
      </w:tr>
      <w:tr w:rsidR="006C3BA4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BA4" w:rsidRPr="00872129" w:rsidRDefault="00916390" w:rsidP="00766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надання послуг 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6" w:rsidRDefault="008D25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Україна,54017, м. Миколаїв, </w:t>
            </w:r>
          </w:p>
          <w:p w:rsidR="006C3BA4" w:rsidRDefault="008D25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вул. Маріупольська,57-А</w:t>
            </w:r>
          </w:p>
        </w:tc>
      </w:tr>
      <w:tr w:rsidR="006C3BA4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BA4" w:rsidRPr="00872129" w:rsidRDefault="0091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послуг </w:t>
            </w:r>
          </w:p>
          <w:p w:rsidR="006C3BA4" w:rsidRPr="00872129" w:rsidRDefault="006C3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BA4" w:rsidRDefault="00916390" w:rsidP="008D25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до </w:t>
            </w:r>
            <w:r w:rsidR="008D25D6" w:rsidRPr="008D2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 грудня</w:t>
            </w:r>
            <w:r w:rsidR="008D2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2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 w:rsidR="008D25D6" w:rsidRPr="008D2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  <w:r w:rsidRPr="008D2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року включно</w:t>
            </w:r>
          </w:p>
        </w:tc>
      </w:tr>
    </w:tbl>
    <w:p w:rsidR="004740EC" w:rsidRDefault="004740E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0EC" w:rsidRPr="004740EC" w:rsidRDefault="004740EC" w:rsidP="004740EC">
      <w:pPr>
        <w:numPr>
          <w:ilvl w:val="3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t>Загальні вимоги: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Послуги захищеного доступу до мережі Інтернет повинні надаватися відповідно до чинних в Україні законодавчих та нормативних актів, зокрема:</w:t>
      </w:r>
    </w:p>
    <w:p w:rsidR="004740EC" w:rsidRPr="004740EC" w:rsidRDefault="004740EC" w:rsidP="004740E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Закону України «Про електронні комунікації»;</w:t>
      </w:r>
    </w:p>
    <w:p w:rsidR="004740EC" w:rsidRPr="004740EC" w:rsidRDefault="004740EC" w:rsidP="004740EC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Указу Президента України «Про деякі заходи щодо захисту державних інформаційних ресурсів у мережах передачі даних» від 24 вересня 2001 р. № 891/2001; </w:t>
      </w:r>
    </w:p>
    <w:p w:rsidR="004740EC" w:rsidRPr="004740EC" w:rsidRDefault="004740EC" w:rsidP="004740E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Порядку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інформаційних, телекомунікаційних та інформаційно-телекомунікаційних системах, затвердженого наказом Адміністрації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Держспецзв'язку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від 10.06.2008 № 94, зареєстрованого в Міністерстві юстиції України 7 липня 2008 р. за № 603/15294;</w:t>
      </w:r>
    </w:p>
    <w:p w:rsidR="004740EC" w:rsidRPr="004740EC" w:rsidRDefault="004740EC" w:rsidP="004740E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Правил надання та отримання телекомунікаційних послуг, затверджених постановою Кабінету Міністрів України від 11 квітня 2012 р. № 295, та інших нормативно-правових актів України у сфері електронних комунікацій.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постанови Кабінету Міністрів України від 19 червня 2019 р. 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518 «Про затвердження Загальних вимог до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кіберзахисту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об’єктів критичної інфраструктури» для забезпечення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відмовостійкості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об’єкта критичної інформаційної інфраструктури об’єкта критичної інфраструктури повинно здійснюватися (для об’єкта критичної інфраструктури, які надають свої послуги через Інтернет) зв’язок з Інтернетом з використанням двох та більше каналів передачі даних, які надаються різними операторами мережі передачі даних (провайдерами) (абзац сьомий пункту 38 Переліку базових вимог із забезпечення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кіберзахисту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об’єктів критичної інфраструктури додатку до Загальних вимог).</w:t>
      </w:r>
    </w:p>
    <w:p w:rsidR="004740EC" w:rsidRPr="004740EC" w:rsidRDefault="004740EC" w:rsidP="004740E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Місце надання послуг: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54017, м. Миколаїв, вул. Маріупольська, 57</w:t>
      </w:r>
      <w:r w:rsidR="00433C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4740EC" w:rsidRPr="004740EC" w:rsidRDefault="004740EC" w:rsidP="004740E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t>Вимоги до послуг: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89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Тип послуг: 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>послуги захищеного доступу до мережі Інтернет через Захищений вузол Інтернет доступу Виконавця за технологією TCP/IP по виділеній оптично-волоконній лінії зв’язку:</w:t>
      </w:r>
    </w:p>
    <w:p w:rsidR="004740EC" w:rsidRPr="004740EC" w:rsidRDefault="004740EC" w:rsidP="004740E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за адресою м. Миколаїв, вул. Маріупольська, 57</w:t>
      </w:r>
      <w:r w:rsidR="00095AA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А на швидкості 100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Мбіт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>/с без урахування обсягів прийнятої та переданої інформації, операторське та технічне супроводження доступу до мережі Інтернет;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Цілодобовий захищений доступ до мережі Інтернет повинен надаватися через Захищений вузол Інтернет доступу (ЗВІД) Виконавця, який повинен мати дійсний атестат відповідності системи захисту інформації та експертний висновок до нього.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Виконавець здійснює розміщення власного обладнання, необхідного для забезпечення надання Послуг на вузлі мережі Замовника, відповідно до паспортних характеристик обладнання, а Замовник забезпечує технічні умови для розміщення та експлуатації обладнання Виконавця.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Зона відповідальності Виконавця при наданні Послуг </w:t>
      </w:r>
      <w:r w:rsidRPr="004740EC">
        <w:rPr>
          <w:rFonts w:ascii="Times New Roman" w:hAnsi="Times New Roman" w:cs="Times New Roman"/>
          <w:sz w:val="24"/>
          <w:szCs w:val="24"/>
        </w:rPr>
        <w:t>–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до інтерфейсу локального мережевого обладнання Замовника. Відповідно все обладнання, включаючи кабелі до інтерфейсу локального мережевого обладнання, надається, встановлюється та налагоджується Виконавцем в рамках надання Послуг, та не використовується для інших цілей.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Доступ до мережі Інтернет повинен здійснюватися за допомогою виділеного цифрового каналу передачі даних. Гарантована швидкість доступу до ресурсів мережі Інтернет за </w:t>
      </w:r>
      <w:r w:rsidRPr="004740EC">
        <w:rPr>
          <w:rFonts w:ascii="Times New Roman" w:hAnsi="Times New Roman" w:cs="Times New Roman"/>
          <w:sz w:val="24"/>
          <w:szCs w:val="24"/>
        </w:rPr>
        <w:t xml:space="preserve">адресою 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>м. Миколаїв, вул. Маріупольська, 57</w:t>
      </w:r>
      <w:r w:rsidR="00095AA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4740EC">
        <w:rPr>
          <w:rFonts w:ascii="Times New Roman" w:hAnsi="Times New Roman" w:cs="Times New Roman"/>
          <w:sz w:val="24"/>
          <w:szCs w:val="24"/>
        </w:rPr>
        <w:t>закордонних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ресурсів 100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Мбіт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/с на прийом та 100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Мбіт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/с на передачу, без обмеження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трафіку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4740EC">
        <w:rPr>
          <w:rFonts w:ascii="Times New Roman" w:hAnsi="Times New Roman" w:cs="Times New Roman"/>
          <w:sz w:val="24"/>
          <w:szCs w:val="24"/>
        </w:rPr>
        <w:t>українських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ресурсів 100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Мбіт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/с на прийом та 100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Мбіт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/с на передачу, без обмеження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трафіку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740E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українських ресурсів 200 </w:t>
      </w:r>
      <w:proofErr w:type="spellStart"/>
      <w:r w:rsidRPr="004740EC">
        <w:rPr>
          <w:rFonts w:ascii="Times New Roman" w:hAnsi="Times New Roman" w:cs="Times New Roman"/>
          <w:color w:val="FFFFFF" w:themeColor="background1"/>
          <w:sz w:val="24"/>
          <w:szCs w:val="24"/>
        </w:rPr>
        <w:t>Мбіт</w:t>
      </w:r>
      <w:proofErr w:type="spellEnd"/>
      <w:r w:rsidRPr="004740E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/с на прийом та 200 </w:t>
      </w:r>
      <w:proofErr w:type="spellStart"/>
      <w:r w:rsidRPr="004740EC">
        <w:rPr>
          <w:rFonts w:ascii="Times New Roman" w:hAnsi="Times New Roman" w:cs="Times New Roman"/>
          <w:color w:val="FFFFFF" w:themeColor="background1"/>
          <w:sz w:val="24"/>
          <w:szCs w:val="24"/>
        </w:rPr>
        <w:t>Мбіт</w:t>
      </w:r>
      <w:proofErr w:type="spellEnd"/>
      <w:r w:rsidRPr="004740EC">
        <w:rPr>
          <w:rFonts w:ascii="Times New Roman" w:hAnsi="Times New Roman" w:cs="Times New Roman"/>
          <w:color w:val="FFFFFF" w:themeColor="background1"/>
          <w:sz w:val="24"/>
          <w:szCs w:val="24"/>
        </w:rPr>
        <w:t>/с на передачу, бе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Виконавець повинен мати систему централізованого моніторингу завантаженості, працездатності та інших якісних характеристик каналу передачі даних, та у разі необхідності надавати ці відомості Замовнику.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Виконавець повинен забезпечити технічну підтримку каналу передачі даних, яка включає також постійний моніторинг каналу, діагностику причини відхилення від заданих технічних характеристик.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 xml:space="preserve">Інтерфейс для прийому послуг за адресою 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>м. Миколаїв, вул. Маріупольська, 57</w:t>
      </w:r>
      <w:r w:rsidR="00095AA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40EC">
        <w:rPr>
          <w:rFonts w:ascii="Times New Roman" w:hAnsi="Times New Roman" w:cs="Times New Roman"/>
          <w:sz w:val="24"/>
          <w:szCs w:val="24"/>
        </w:rPr>
        <w:t>:</w:t>
      </w:r>
    </w:p>
    <w:p w:rsidR="004740EC" w:rsidRPr="004740EC" w:rsidRDefault="004740EC" w:rsidP="004740E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versions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 xml:space="preserve"> (100 BASE-T).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Послуги надаються в режимі 24/7/365.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Послуги повинні включати:</w:t>
      </w:r>
    </w:p>
    <w:p w:rsid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використання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при наданні послуг механізму захисту від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DDoS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атак з застосуванням програмно-апаратного комплексу операторського рівня.</w:t>
      </w:r>
    </w:p>
    <w:p w:rsidR="004740EC" w:rsidRDefault="004740EC" w:rsidP="004740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0EC" w:rsidRPr="004740EC" w:rsidRDefault="004740EC" w:rsidP="004740E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t>Вимоги до Захищеного вузлу Інтернет доступу</w:t>
      </w:r>
    </w:p>
    <w:p w:rsidR="004740EC" w:rsidRDefault="004740EC" w:rsidP="004740EC">
      <w:pPr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Захищений вузол Інтернет доступу</w:t>
      </w:r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40EC">
        <w:rPr>
          <w:rFonts w:ascii="Times New Roman" w:hAnsi="Times New Roman" w:cs="Times New Roman"/>
          <w:sz w:val="24"/>
          <w:szCs w:val="24"/>
        </w:rPr>
        <w:t>(ЗВІД)</w:t>
      </w:r>
      <w:r w:rsidRPr="004740E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 </w:t>
      </w:r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>повинен</w:t>
      </w:r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>являти собою сукупність програмно-технічних засобів та організаційних заходів для забезпечення доступу органів державної влади до мережі Інтернет із захистом інформаційних ресурсів відповідно до вимог законодавства України.</w:t>
      </w:r>
    </w:p>
    <w:p w:rsidR="004740EC" w:rsidRDefault="004740EC" w:rsidP="004740EC">
      <w:pPr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Для забезпечення необхідного рівня захисту відкритої і технологічної інформації при її зберіганні, обробці, створенні та передачі ЗВІД повинен мати створену Комплексну систему захисту інформації (КСЗІ) з наступними функціями:</w:t>
      </w:r>
    </w:p>
    <w:p w:rsidR="00C5789F" w:rsidRDefault="00C5789F" w:rsidP="004740EC">
      <w:pPr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89F" w:rsidRDefault="00C5789F" w:rsidP="004740EC">
      <w:pPr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89F" w:rsidRPr="004740EC" w:rsidRDefault="00C5789F" w:rsidP="004740EC">
      <w:pPr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lastRenderedPageBreak/>
        <w:t>застосування політики безпеки на к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>омплексі програмно-технічних засобів</w:t>
      </w:r>
      <w:r w:rsidRPr="004740EC">
        <w:rPr>
          <w:rFonts w:ascii="Times New Roman" w:hAnsi="Times New Roman" w:cs="Times New Roman"/>
          <w:sz w:val="24"/>
          <w:szCs w:val="24"/>
        </w:rPr>
        <w:t xml:space="preserve"> ЗВІД;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управління засобами захисту та функціями захисту активного мережевого обладнання що входить до складу ЗВІД;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безперервну експлуатацію та технічне обслуговування програмно-апаратних засобів захисту;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приймання повідомлень щодо інцидентів щодо порушення безпеки від Комплексу засобів захисту (КЗЗ) серверів ЗВІД;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приймання повідомлень щодо інцидентів з порушенням безпеки від активних мережевих засобів захисту та обладнання;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визначення правил проходження інформаційних потоків між активним мережевим обладнанням;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захист програмно-апаратних засобів від несанкціонованого доступу;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 xml:space="preserve">моніторинг та аналіз поточного стану безпеки ЗВІД; 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аналіз прийнятих повідомлень та сортування згідно рангу загрози;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контроль за входом користувачів в систему та доступом до ресурсів;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реєстрація дій користувачів по відношенню до ресурсів системи;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забезпечення цілісності інформаційних ресурсів центру (у тому числі антивірусний захист);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перевірка цілісності та функціонування системи захисту;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контроль за інсталяцією програмного забезпечення на серверах ЗВІД;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забезпечення необхідного рівня захисту технологічної інформації при її зберіганні, обробці, створенні та передачі за допомогою засобів системи;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 xml:space="preserve"> фізичний захист апаратно-програмних засобів ЗВІД від несанкціонованого доступу (НСД);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контроль за цілісністю функціонального програмного забезпечення та даних;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контроль за запуском процесів та їх виконанням;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виявлення та реєстрацію спроб порушення прийнятих прав розмежування доступу;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виявлення та блокування розповсюдження шкідливих програм;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перевірки цілісності та коректності функціонування програмних та апаратних засобів захисту (самоконтроль);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забезпечення можливості повернення обчислювальної мережі ЗВІД у відомий захищений стан після відмов або переривання обслуговування.</w:t>
      </w:r>
    </w:p>
    <w:p w:rsidR="004740EC" w:rsidRPr="004740EC" w:rsidRDefault="004740EC" w:rsidP="004740E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керування мережевими засобами захисту та функціями захисту активного мережевого обладнання, що входить до складу ЗВІД.</w:t>
      </w:r>
    </w:p>
    <w:p w:rsidR="004740EC" w:rsidRPr="004740EC" w:rsidRDefault="004740EC" w:rsidP="004740E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Вимоги до програмно-апаратного комплексу захисту від </w:t>
      </w:r>
      <w:proofErr w:type="spellStart"/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t>DDoS</w:t>
      </w:r>
      <w:proofErr w:type="spellEnd"/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атак. 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Можливість відбиття атак рівня L3 (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Volumetric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>), L4 (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Infrastructure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>) і L7 (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>) мережевої моделі OSІ.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Захист від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Volumetric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DDoS-атак на рівні пропускної спроможності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аплінків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та потужністю до 10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Гбіт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>/с для атак рівнів L4 та L7.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Активне придушення DDoS-атак в режимі реального часу.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Робота проти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Volumetric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і проти «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Low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Slow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>» атак.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Асиметричний режим роботи системи, тобто відсутність необхідності обробки вихідного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трафіку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для ефективного придушення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DDoS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атак.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Інтеграція з хмарним сервісом для отримання в реальному часі інформації про атаки, що відбуваються в світі, і засоби захисту від них.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Відсутність необхідності попереднього вивчення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трафіку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для створення профілю нормальної поведінки.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Розвинена система звітів і протоколювання всіх виконаних дій, що дозволяє відстежувати і коригувати можливі помилкові спрацьовування.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Автоматичне регулювання параметрів захисту з можливістю ручного регулювання параметрів системи в залежності від специфіки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IТ-системи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Замовника.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On-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доступ Замовника до статистики та управління послугою.</w:t>
      </w:r>
    </w:p>
    <w:p w:rsidR="004740EC" w:rsidRPr="00F03204" w:rsidRDefault="004740EC" w:rsidP="004740EC">
      <w:pPr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Можливість виділення і збереження (на вимогу Замовника), зразків </w:t>
      </w:r>
      <w:proofErr w:type="spellStart"/>
      <w:r w:rsidRPr="004740EC">
        <w:rPr>
          <w:rFonts w:ascii="Times New Roman" w:hAnsi="Times New Roman" w:cs="Times New Roman"/>
          <w:color w:val="000000"/>
          <w:sz w:val="24"/>
          <w:szCs w:val="24"/>
        </w:rPr>
        <w:t>трафіку</w:t>
      </w:r>
      <w:proofErr w:type="spellEnd"/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для подальшого їх аналізу Замовником.</w:t>
      </w:r>
    </w:p>
    <w:p w:rsidR="00F03204" w:rsidRDefault="00F03204" w:rsidP="00F03204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204" w:rsidRPr="004740EC" w:rsidRDefault="00F03204" w:rsidP="00F03204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0EC" w:rsidRPr="004740EC" w:rsidRDefault="004740EC" w:rsidP="004740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Вимоги до операторського та технічного супроводження. </w:t>
      </w:r>
    </w:p>
    <w:p w:rsidR="004740EC" w:rsidRPr="004740EC" w:rsidRDefault="004740EC" w:rsidP="004740E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Виконавець повинен мати власний Центр технічної підтримки </w:t>
      </w:r>
      <w:r w:rsidRPr="004740EC">
        <w:rPr>
          <w:rFonts w:ascii="Times New Roman" w:hAnsi="Times New Roman" w:cs="Times New Roman"/>
          <w:sz w:val="24"/>
          <w:szCs w:val="24"/>
        </w:rPr>
        <w:t>що працює в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0EC">
        <w:rPr>
          <w:rFonts w:ascii="Times New Roman" w:hAnsi="Times New Roman" w:cs="Times New Roman"/>
          <w:sz w:val="24"/>
          <w:szCs w:val="24"/>
        </w:rPr>
        <w:t xml:space="preserve">режимі: 24х7х365 (цілодобово (00:00-24:00) з понеділка по неділю включно, 365 днів на рік 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з можливістю звернення </w:t>
      </w:r>
      <w:r w:rsidRPr="004740EC">
        <w:rPr>
          <w:rFonts w:ascii="Times New Roman" w:hAnsi="Times New Roman" w:cs="Times New Roman"/>
          <w:sz w:val="24"/>
          <w:szCs w:val="24"/>
        </w:rPr>
        <w:t>по телефону, через веб-сай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т, </w:t>
      </w:r>
      <w:r w:rsidRPr="004740EC">
        <w:rPr>
          <w:rFonts w:ascii="Times New Roman" w:hAnsi="Times New Roman" w:cs="Times New Roman"/>
          <w:sz w:val="24"/>
          <w:szCs w:val="24"/>
        </w:rPr>
        <w:t>електронну пошту (e-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740EC" w:rsidRPr="004740EC" w:rsidRDefault="004740EC" w:rsidP="004740E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 xml:space="preserve"> 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Виконавець </w:t>
      </w:r>
      <w:r w:rsidRPr="004740EC">
        <w:rPr>
          <w:rFonts w:ascii="Times New Roman" w:hAnsi="Times New Roman" w:cs="Times New Roman"/>
          <w:sz w:val="24"/>
          <w:szCs w:val="24"/>
        </w:rPr>
        <w:t>повинен надати Замовнику перелік телефонів, веб-сайт та електронну пошту (e-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 xml:space="preserve">) Центру технічної підтримки протягом 2-х календарних днів з моменту підписання Договору. </w:t>
      </w:r>
    </w:p>
    <w:p w:rsidR="004740EC" w:rsidRPr="004740EC" w:rsidRDefault="004740EC" w:rsidP="004740E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 xml:space="preserve">Звернення (повідомлення) Замовника повинно обов’язково включати: найменування Замовника; ім'я, прізвище, контактний телефон особи, що 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>звертається; причину звернення.</w:t>
      </w:r>
    </w:p>
    <w:p w:rsidR="004740EC" w:rsidRPr="004740EC" w:rsidRDefault="004740EC" w:rsidP="004740E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На підставі звернення (повідомлення) Замовника Виконавець формує заявку, що включає всі відомості, повідомлені Замовником.</w:t>
      </w:r>
    </w:p>
    <w:p w:rsidR="004740EC" w:rsidRPr="004740EC" w:rsidRDefault="004740EC" w:rsidP="004740E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Виконавець повинен здійснювати постійний моніторинг каналу передачі даних, виявлення та усунення причин відхилення від заданих технічних характеристик.</w:t>
      </w:r>
    </w:p>
    <w:p w:rsidR="004740EC" w:rsidRPr="004740EC" w:rsidRDefault="004740EC" w:rsidP="004740E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 xml:space="preserve">У разі виявлення 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кіберінцинденту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 xml:space="preserve"> (кібератаки) на ресурси або 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трафік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 xml:space="preserve"> Замовника Виконавець повинен негайно повідомити про це представників технічної підтримки Замовника по телефону та засобами електронної пошти (e-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>).</w:t>
      </w:r>
    </w:p>
    <w:p w:rsidR="004740EC" w:rsidRPr="004740EC" w:rsidRDefault="004740EC" w:rsidP="004740E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Виконавець повинен щомісячно надавати статистичну інформацію про послуги, що надаються.</w:t>
      </w:r>
    </w:p>
    <w:p w:rsidR="004740EC" w:rsidRPr="004740EC" w:rsidRDefault="004740EC" w:rsidP="004740E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 xml:space="preserve">Виконавець повинен забезпечити усунення пошкоджень каналу передачі даних та відновлення доступу до глобальної мережі у термін (далі - нормований час) відповідно до Показників якості послуг із передачі даних, доступу до Інтернету та їх рівнів, затверджених наказом Адміністрації Державної служби спеціального зв’язку та захисту інформації 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>України від 28.12.2012 № 803, зареєстрованого в Міністерстві юстиції України 21.01.2013 №135/22667.</w:t>
      </w:r>
    </w:p>
    <w:p w:rsidR="004740EC" w:rsidRPr="004740EC" w:rsidRDefault="004740EC" w:rsidP="004740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t>Порядок та строки усунення інцидентів: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Відсутність надання послуг протягом 30 хвилин вважається інцидентом.</w:t>
      </w:r>
    </w:p>
    <w:p w:rsidR="004740EC" w:rsidRPr="004740EC" w:rsidRDefault="004740EC" w:rsidP="004740E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У випадку виникнення інцидентів Виконавець негайно повідомляє про це представників технічної підтримки Замовника по телефону </w:t>
      </w:r>
      <w:r w:rsidRPr="004740EC">
        <w:rPr>
          <w:rFonts w:ascii="Times New Roman" w:hAnsi="Times New Roman" w:cs="Times New Roman"/>
          <w:sz w:val="24"/>
          <w:szCs w:val="24"/>
        </w:rPr>
        <w:t>та засобами електронної пошти</w:t>
      </w:r>
      <w:r w:rsidRPr="004740EC">
        <w:rPr>
          <w:rFonts w:ascii="Times New Roman" w:hAnsi="Times New Roman" w:cs="Times New Roman"/>
          <w:sz w:val="24"/>
          <w:szCs w:val="24"/>
        </w:rPr>
        <w:br/>
        <w:t>(e-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>)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40EC" w:rsidRPr="004740EC" w:rsidRDefault="004740EC" w:rsidP="004740E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У випадку, якщо інцидент виявлено Замовником, останній негайно повідомляє про це представників технічної підтримки Виконавця по телефону </w:t>
      </w:r>
      <w:r w:rsidRPr="004740EC">
        <w:rPr>
          <w:rFonts w:ascii="Times New Roman" w:hAnsi="Times New Roman" w:cs="Times New Roman"/>
          <w:sz w:val="24"/>
          <w:szCs w:val="24"/>
        </w:rPr>
        <w:t>та засобами електронної пошти (e-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>)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40EC" w:rsidRPr="004740EC" w:rsidRDefault="004740EC" w:rsidP="004740E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Початком періоду інциденту вважається отримання Виконавцем від Замовника повідомлення про інцидент або повідомлення Виконавцем Замовника по телефону </w:t>
      </w:r>
      <w:r w:rsidRPr="004740EC">
        <w:rPr>
          <w:rFonts w:ascii="Times New Roman" w:hAnsi="Times New Roman" w:cs="Times New Roman"/>
          <w:sz w:val="24"/>
          <w:szCs w:val="24"/>
        </w:rPr>
        <w:t>та засобами електронної пошти (e-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>)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Строк усунення інцидентів, які виникли з вини Виконавця не повинен перевищувати 2-х годин.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Порядок та строки усунення інцидентів, що виникли з вини Замовника, погоджується Сторонами в кожному окремому випадку. 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Завершенням періоду інциденту вважається час фактичного усунення інциденту та відновлення Послуг.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 xml:space="preserve">Про факт відновлення Послуг Виконавець повідомляє Замовника по телефону та дублює повідомлення </w:t>
      </w:r>
      <w:r w:rsidRPr="004740EC">
        <w:rPr>
          <w:rFonts w:ascii="Times New Roman" w:hAnsi="Times New Roman" w:cs="Times New Roman"/>
          <w:sz w:val="24"/>
          <w:szCs w:val="24"/>
        </w:rPr>
        <w:t>на електронну пошту (e-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>)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>. На повідомлення Виконавця Замовник підтверджує чи не підтверджує факт відновлення надання Послуг.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Замовник зобов’язується надавати персоналу Виконавця доступ до приміщень Замовника, електронного комунікаційного обладнання, яке встановлено у Замовника відповідно п. 3.3, що забезпечує надання Послуг та розміщене в приміщеннях Замовника, для виконання робіт по відновленню Послуг.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 xml:space="preserve">Для отримання необхідного доступу до приміщень </w:t>
      </w:r>
      <w:r w:rsidRPr="004740EC">
        <w:rPr>
          <w:rFonts w:ascii="Times New Roman" w:hAnsi="Times New Roman" w:cs="Times New Roman"/>
          <w:color w:val="000000"/>
          <w:sz w:val="24"/>
          <w:szCs w:val="24"/>
        </w:rPr>
        <w:t>Замовника, Виконавець надсилає листа з переліком працівників, які будуть виконувати роботи. Оператор пред’являє Замовнику службові посвідчення та направлення на виконання робіт.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t>Замовник має право отримувати інформацію про хід виконання робіт по відновленню Послуг шляхом звернення до представників технічної підтримки Виконавця.</w:t>
      </w:r>
    </w:p>
    <w:p w:rsidR="004740EC" w:rsidRPr="004740EC" w:rsidRDefault="004740EC" w:rsidP="004740E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надходженні заявки про інцидент (відсутність Послуги з вини Виконавця) при перевищені строку відновлення надання Послуги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обсязі.</w:t>
      </w:r>
    </w:p>
    <w:p w:rsidR="004740EC" w:rsidRPr="004740EC" w:rsidRDefault="004740EC" w:rsidP="004740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b/>
          <w:color w:val="000000"/>
          <w:sz w:val="24"/>
          <w:szCs w:val="24"/>
        </w:rPr>
        <w:t>На підтвердження відповідності тендерної пропозиції технічним, якісним, кількісним вимогам до предмета закупівлі, Учасником у складі тендерної пропозиції надається:</w:t>
      </w:r>
    </w:p>
    <w:p w:rsidR="004740EC" w:rsidRPr="004740EC" w:rsidRDefault="004740EC" w:rsidP="004740EC">
      <w:pPr>
        <w:widowControl w:val="0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8.1. Довідка (форма довільна) щодо можливості надання послуг відповідно до вимог.</w:t>
      </w:r>
    </w:p>
    <w:p w:rsidR="004740EC" w:rsidRPr="004740EC" w:rsidRDefault="004740EC" w:rsidP="004740EC">
      <w:pPr>
        <w:widowControl w:val="0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8.2. Довідку в довільній формі про організацію цілодобової технічної підтримки послуги (телефони «гарячої лінії», e-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 xml:space="preserve"> адреси, сайти технічної підтримки тощо). Інформація зазначена у довідці повинна бути підтверджена інформацією з офіційного сайту Учасника (за наявності).</w:t>
      </w:r>
    </w:p>
    <w:p w:rsidR="004740EC" w:rsidRPr="004740EC" w:rsidRDefault="004740EC" w:rsidP="004740EC">
      <w:pPr>
        <w:widowControl w:val="0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 xml:space="preserve">8.3. Документ, який підтверджує внесення Учасника до реєстру операторів та/ або провайдерів 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телекомунікацій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 xml:space="preserve"> Національною комісією, що здійснює державне регулювання у сфері зв’язку та інформатизації.</w:t>
      </w:r>
    </w:p>
    <w:p w:rsidR="004740EC" w:rsidRPr="004740EC" w:rsidRDefault="004740EC" w:rsidP="004740EC">
      <w:pPr>
        <w:widowControl w:val="0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>8.4. На підтвердження відповідності системи захисту інформації Захищеного вузла Інтернет доступу (ЗВІД) встановленим вимогам у сфері захисту інформації учасник повинен надати копію дійсного Атестату відповідності виданого Державною службою спеціального зв’язку та захисту інформації України та Експертного висновку до нього.</w:t>
      </w:r>
    </w:p>
    <w:p w:rsidR="004740EC" w:rsidRPr="004740EC" w:rsidRDefault="004740EC" w:rsidP="004740EC">
      <w:pPr>
        <w:widowControl w:val="0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 xml:space="preserve">8.5. Довідка (форма довільна), яка має містити інформацію про наявність програмно-апаратного комплексу захисту від 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DDoS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 xml:space="preserve"> атак, що відповідає вимогам указаним у пункті 5 Технічних вимог. </w:t>
      </w:r>
    </w:p>
    <w:p w:rsidR="004740EC" w:rsidRPr="004740EC" w:rsidRDefault="004740EC" w:rsidP="004740EC">
      <w:pPr>
        <w:widowControl w:val="0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0EC">
        <w:rPr>
          <w:rFonts w:ascii="Times New Roman" w:hAnsi="Times New Roman" w:cs="Times New Roman"/>
          <w:sz w:val="24"/>
          <w:szCs w:val="24"/>
        </w:rPr>
        <w:t xml:space="preserve">8.6.  Документи, що підтверджують право власності або користування програмно-апаратним комплексом захисту від 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DDoS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 xml:space="preserve"> атак, або використання комплексу захисту від </w:t>
      </w:r>
      <w:proofErr w:type="spellStart"/>
      <w:r w:rsidRPr="004740EC">
        <w:rPr>
          <w:rFonts w:ascii="Times New Roman" w:hAnsi="Times New Roman" w:cs="Times New Roman"/>
          <w:sz w:val="24"/>
          <w:szCs w:val="24"/>
        </w:rPr>
        <w:t>DDoS</w:t>
      </w:r>
      <w:proofErr w:type="spellEnd"/>
      <w:r w:rsidRPr="004740EC">
        <w:rPr>
          <w:rFonts w:ascii="Times New Roman" w:hAnsi="Times New Roman" w:cs="Times New Roman"/>
          <w:sz w:val="24"/>
          <w:szCs w:val="24"/>
        </w:rPr>
        <w:t xml:space="preserve"> атак у вигляді «хмарного сервісу» від постачальника відповідних послуг.</w:t>
      </w:r>
    </w:p>
    <w:p w:rsidR="00C5789F" w:rsidRPr="004740EC" w:rsidRDefault="00C5789F" w:rsidP="00C5789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740EC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:rsidR="006C3BA4" w:rsidRDefault="006C3BA4" w:rsidP="004740E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6C3BA4">
      <w:pgSz w:w="11906" w:h="16838"/>
      <w:pgMar w:top="426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309"/>
    <w:multiLevelType w:val="multilevel"/>
    <w:tmpl w:val="C5F24A9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15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4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7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7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9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840" w:hanging="1800"/>
      </w:pPr>
      <w:rPr>
        <w:color w:val="000000"/>
      </w:rPr>
    </w:lvl>
  </w:abstractNum>
  <w:abstractNum w:abstractNumId="1">
    <w:nsid w:val="0D187B56"/>
    <w:multiLevelType w:val="multilevel"/>
    <w:tmpl w:val="E4260B0E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9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6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0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37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220" w:hanging="360"/>
      </w:pPr>
      <w:rPr>
        <w:rFonts w:ascii="Noto Sans Symbols" w:hAnsi="Noto Sans Symbols" w:cs="Noto Sans Symbols" w:hint="default"/>
      </w:rPr>
    </w:lvl>
  </w:abstractNum>
  <w:abstractNum w:abstractNumId="2">
    <w:nsid w:val="471B2BC3"/>
    <w:multiLevelType w:val="multilevel"/>
    <w:tmpl w:val="132E21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8EA0EDC"/>
    <w:multiLevelType w:val="multilevel"/>
    <w:tmpl w:val="68F2A6BC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nsid w:val="53CC70B9"/>
    <w:multiLevelType w:val="multilevel"/>
    <w:tmpl w:val="7EAC2A5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nsid w:val="759D4E89"/>
    <w:multiLevelType w:val="multilevel"/>
    <w:tmpl w:val="5E0EC6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6C3BA4"/>
    <w:rsid w:val="00025BEC"/>
    <w:rsid w:val="00095AA8"/>
    <w:rsid w:val="001364DB"/>
    <w:rsid w:val="00284086"/>
    <w:rsid w:val="003D1255"/>
    <w:rsid w:val="00433CA1"/>
    <w:rsid w:val="004740EC"/>
    <w:rsid w:val="00482607"/>
    <w:rsid w:val="005F364F"/>
    <w:rsid w:val="006C3BA4"/>
    <w:rsid w:val="007665BC"/>
    <w:rsid w:val="00785C96"/>
    <w:rsid w:val="00872129"/>
    <w:rsid w:val="008D25D6"/>
    <w:rsid w:val="00916390"/>
    <w:rsid w:val="009F71E8"/>
    <w:rsid w:val="00C5789F"/>
    <w:rsid w:val="00C7125A"/>
    <w:rsid w:val="00C8560D"/>
    <w:rsid w:val="00D0535D"/>
    <w:rsid w:val="00D33CCB"/>
    <w:rsid w:val="00E54017"/>
    <w:rsid w:val="00E94CF1"/>
    <w:rsid w:val="00F03204"/>
    <w:rsid w:val="00F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77185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72DA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72DA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72DAB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d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D5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annotation text"/>
    <w:basedOn w:val="a"/>
    <w:uiPriority w:val="99"/>
    <w:semiHidden/>
    <w:unhideWhenUsed/>
    <w:qFormat/>
    <w:rsid w:val="00172DAB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172DAB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9E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77185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72DA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72DA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72DAB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d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D5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annotation text"/>
    <w:basedOn w:val="a"/>
    <w:uiPriority w:val="99"/>
    <w:semiHidden/>
    <w:unhideWhenUsed/>
    <w:qFormat/>
    <w:rsid w:val="00172DAB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172DAB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9E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4B4B96E-6303-4DD9-A747-7E11FBFA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9177</Words>
  <Characters>5231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Кабаєва Ірина Володимирівна</cp:lastModifiedBy>
  <cp:revision>28</cp:revision>
  <cp:lastPrinted>2023-05-18T11:51:00Z</cp:lastPrinted>
  <dcterms:created xsi:type="dcterms:W3CDTF">2022-08-17T14:44:00Z</dcterms:created>
  <dcterms:modified xsi:type="dcterms:W3CDTF">2023-05-22T06:52:00Z</dcterms:modified>
  <dc:language>uk-UA</dc:language>
</cp:coreProperties>
</file>