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5E" w:rsidRDefault="005571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15E" w:rsidRDefault="00305B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5715E" w:rsidRDefault="00305B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715E" w:rsidRDefault="00305B1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55715E" w:rsidRDefault="00305B1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:rsidR="0055715E" w:rsidRDefault="00305B11" w:rsidP="00AA3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715E" w:rsidRDefault="00305B11" w:rsidP="00AA3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своєї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функціональним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характеристикам до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потреби – планам,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кресленням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малюнкам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містяться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поставки товару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5715E" w:rsidRDefault="00305B11" w:rsidP="00AA3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55715E" w:rsidRDefault="00305B11" w:rsidP="00AA3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товарами, роботами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кожного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».</w:t>
      </w:r>
    </w:p>
    <w:p w:rsidR="0055715E" w:rsidRDefault="00305B11" w:rsidP="00AA3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потребам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715E" w:rsidRDefault="005571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15E" w:rsidRDefault="00305B11" w:rsidP="00AA36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f0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10"/>
        <w:gridCol w:w="5265"/>
      </w:tblGrid>
      <w:tr w:rsidR="0055715E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15E" w:rsidRDefault="0030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15E" w:rsidRDefault="0030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</w:tr>
      <w:tr w:rsidR="0055715E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15E" w:rsidRDefault="0030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15E" w:rsidRDefault="0030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09120000-6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</w:p>
        </w:tc>
      </w:tr>
      <w:tr w:rsidR="0055715E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15E" w:rsidRDefault="0030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6nupd4wi4rmk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15E" w:rsidRDefault="0030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газ: 09123000-7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</w:t>
            </w:r>
          </w:p>
        </w:tc>
      </w:tr>
      <w:tr w:rsidR="0055715E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15E" w:rsidRDefault="0030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15E" w:rsidRPr="00ED5561" w:rsidRDefault="0030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561">
              <w:rPr>
                <w:rFonts w:ascii="Times New Roman" w:eastAsia="Times New Roman" w:hAnsi="Times New Roman" w:cs="Times New Roman"/>
                <w:sz w:val="24"/>
                <w:szCs w:val="24"/>
              </w:rPr>
              <w:t>тисяча</w:t>
            </w:r>
            <w:proofErr w:type="spellEnd"/>
            <w:r w:rsidRPr="00ED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561">
              <w:rPr>
                <w:rFonts w:ascii="Times New Roman" w:eastAsia="Times New Roman" w:hAnsi="Times New Roman" w:cs="Times New Roman"/>
                <w:sz w:val="24"/>
                <w:szCs w:val="24"/>
              </w:rPr>
              <w:t>кубічних</w:t>
            </w:r>
            <w:proofErr w:type="spellEnd"/>
            <w:r w:rsidRPr="00ED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  <w:r w:rsidRPr="00ED5561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ED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5561">
              <w:rPr>
                <w:rFonts w:ascii="Times New Roman" w:eastAsia="Times New Roman" w:hAnsi="Times New Roman" w:cs="Times New Roman"/>
                <w:sz w:val="24"/>
                <w:szCs w:val="24"/>
              </w:rPr>
              <w:t>(тис</w:t>
            </w:r>
            <w:proofErr w:type="gramStart"/>
            <w:r w:rsidRPr="00ED55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556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D5561">
              <w:rPr>
                <w:rFonts w:ascii="Times New Roman" w:eastAsia="Times New Roman" w:hAnsi="Times New Roman" w:cs="Times New Roman"/>
                <w:sz w:val="24"/>
                <w:szCs w:val="24"/>
              </w:rPr>
              <w:t>уб.м.)</w:t>
            </w:r>
          </w:p>
          <w:p w:rsidR="0055715E" w:rsidRPr="00ED5561" w:rsidRDefault="00557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5E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15E" w:rsidRDefault="0030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ED5561">
              <w:rPr>
                <w:rFonts w:ascii="Times New Roman" w:eastAsia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ED55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556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D5561">
              <w:rPr>
                <w:rFonts w:ascii="Times New Roman" w:eastAsia="Times New Roman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15E" w:rsidRPr="00ED5561" w:rsidRDefault="003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112,80259</w:t>
            </w:r>
          </w:p>
        </w:tc>
      </w:tr>
      <w:tr w:rsidR="0055715E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15E" w:rsidRDefault="0030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15E" w:rsidRDefault="00ED5561" w:rsidP="0030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49006, м. Дніпро, вул.. Надії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>Алексеєнко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uk-UA"/>
              </w:rPr>
              <w:t>, 80</w:t>
            </w:r>
            <w:r w:rsidR="0030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15E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15E" w:rsidRDefault="0030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15E" w:rsidRPr="00ED5561" w:rsidRDefault="00305B11" w:rsidP="00354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556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D5561">
              <w:rPr>
                <w:rFonts w:ascii="Times New Roman" w:eastAsia="Times New Roman" w:hAnsi="Times New Roman" w:cs="Times New Roman"/>
                <w:sz w:val="24"/>
                <w:szCs w:val="24"/>
              </w:rPr>
              <w:t>ілодобово</w:t>
            </w:r>
            <w:proofErr w:type="spellEnd"/>
            <w:r w:rsidRPr="00ED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5561" w:rsidRPr="00ED55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3542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 квітня</w:t>
            </w:r>
            <w:r w:rsidR="00ED5561" w:rsidRPr="00ED55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2024 року </w:t>
            </w:r>
            <w:r w:rsidRPr="00ED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3542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 жовтня</w:t>
            </w:r>
            <w:r w:rsidR="00ED5561" w:rsidRPr="00ED55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2024 року </w:t>
            </w:r>
            <w:r w:rsidRPr="00ED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56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Pr="00ED5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5715E" w:rsidRDefault="0055715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15E" w:rsidRDefault="00305B11" w:rsidP="00AA36B0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нормам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715E" w:rsidRDefault="00305B11" w:rsidP="00AA36B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газу» № 329-VIII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09.04.2015;</w:t>
      </w:r>
    </w:p>
    <w:p w:rsidR="0055715E" w:rsidRDefault="00305B11" w:rsidP="00AA36B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2496;</w:t>
      </w:r>
    </w:p>
    <w:p w:rsidR="0055715E" w:rsidRDefault="00305B11" w:rsidP="00AA36B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2493;</w:t>
      </w:r>
    </w:p>
    <w:p w:rsidR="0055715E" w:rsidRDefault="00305B11" w:rsidP="00AA36B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2494;</w:t>
      </w:r>
    </w:p>
    <w:p w:rsidR="0055715E" w:rsidRDefault="00305B11" w:rsidP="00AA36B0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нормативно-правовим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газу».</w:t>
      </w:r>
    </w:p>
    <w:p w:rsidR="0055715E" w:rsidRDefault="0055715E" w:rsidP="00AA36B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15E" w:rsidRDefault="00305B11" w:rsidP="00AA36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55715E" w:rsidRDefault="00305B11" w:rsidP="00AA36B0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(ФХП)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2493),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2494).</w:t>
      </w:r>
    </w:p>
    <w:p w:rsidR="0055715E" w:rsidRDefault="00305B11" w:rsidP="00AA36B0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 (куб. м), приведений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умов: температура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=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(Р) = 760 мм ртутного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(101,325 кПа).</w:t>
      </w:r>
    </w:p>
    <w:p w:rsidR="0055715E" w:rsidRDefault="0055715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15E" w:rsidRDefault="00305B11" w:rsidP="00AA36B0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715E" w:rsidRDefault="00305B11" w:rsidP="00AA36B0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 за договорами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газу.</w:t>
      </w:r>
    </w:p>
    <w:p w:rsidR="0055715E" w:rsidRDefault="00305B11" w:rsidP="00AA36B0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транспортуванням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точки входу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систему,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підключено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ГТС,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норм Кодексу ГТС за тарифами,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НКРЕКП.</w:t>
      </w:r>
    </w:p>
    <w:p w:rsidR="0055715E" w:rsidRDefault="00305B11" w:rsidP="00AA36B0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включається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природного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Оператором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5715E" w:rsidRDefault="00305B11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715E" w:rsidRDefault="00305B11" w:rsidP="00AA36B0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55715E" w:rsidRDefault="00305B11" w:rsidP="00AA36B0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інформаційній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Оператора ГТС)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розрахунковому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періоді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5715E" w:rsidRDefault="00305B11" w:rsidP="00AA36B0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Розподіл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ГРМ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монополій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провадять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господарську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  <w:proofErr w:type="gramEnd"/>
    </w:p>
    <w:p w:rsidR="0055715E" w:rsidRDefault="0055715E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55715E" w:rsidRDefault="0055715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15E" w:rsidRDefault="0055715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5715E" w:rsidSect="00ED5561">
      <w:pgSz w:w="11906" w:h="16838"/>
      <w:pgMar w:top="284" w:right="850" w:bottom="426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0E53"/>
    <w:multiLevelType w:val="multilevel"/>
    <w:tmpl w:val="65C835F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4E874CE"/>
    <w:multiLevelType w:val="multilevel"/>
    <w:tmpl w:val="8C8C6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55715E"/>
    <w:rsid w:val="00305B11"/>
    <w:rsid w:val="00354212"/>
    <w:rsid w:val="003559A6"/>
    <w:rsid w:val="0055715E"/>
    <w:rsid w:val="00AA36B0"/>
    <w:rsid w:val="00ED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715E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rsid w:val="0055715E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rsid w:val="005571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571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571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5715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571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5715E"/>
  </w:style>
  <w:style w:type="table" w:customStyle="1" w:styleId="TableNormal">
    <w:name w:val="Table Normal"/>
    <w:rsid w:val="005571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5715E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normal0">
    <w:name w:val="normal"/>
    <w:rsid w:val="0055715E"/>
  </w:style>
  <w:style w:type="table" w:customStyle="1" w:styleId="TableNormal0">
    <w:name w:val="Table Normal"/>
    <w:rsid w:val="005571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571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rsid w:val="0055715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rsid w:val="0055715E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sid w:val="0055715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rsid w:val="0055715E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sid w:val="0055715E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rsid w:val="0055715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uk-UA"/>
    </w:rPr>
  </w:style>
  <w:style w:type="character" w:customStyle="1" w:styleId="a9">
    <w:name w:val="Заголовок Знак"/>
    <w:rsid w:val="0055715E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rsid w:val="0055715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;Список уровня 2"/>
    <w:basedOn w:val="a"/>
    <w:rsid w:val="0055715E"/>
    <w:pPr>
      <w:ind w:left="720"/>
      <w:contextualSpacing/>
    </w:pPr>
  </w:style>
  <w:style w:type="character" w:customStyle="1" w:styleId="21">
    <w:name w:val="Абзац списка Знак;Список уровня 2 Знак"/>
    <w:rsid w:val="0055715E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sid w:val="0055715E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rsid w:val="0055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sid w:val="0055715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sid w:val="0055715E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rsid w:val="0055715E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normal0"/>
    <w:next w:val="normal0"/>
    <w:rsid w:val="0055715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rsid w:val="005571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5571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5571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+CoMlrLQ/yCEjkmBTEnH9F8jyA==">AMUW2mWOhrIJR//DgofExZIViDDLTovBtILaeYo2hzvLDUKvQltgfgDs4WXiifnTaQFSOicrmQ0MpycP++JzbaDcZ9pqAlxib3SHy5qpkHLvaByX/nqQyz+5bn1Cd5r+KCs1VIzrpret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3594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4</cp:revision>
  <dcterms:created xsi:type="dcterms:W3CDTF">2020-09-30T09:32:00Z</dcterms:created>
  <dcterms:modified xsi:type="dcterms:W3CDTF">2024-03-28T14:35:00Z</dcterms:modified>
</cp:coreProperties>
</file>