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41" w:rsidRPr="00B46EC2" w:rsidRDefault="008E6C26">
      <w:pPr>
        <w:ind w:left="6372" w:firstLine="708"/>
        <w:jc w:val="center"/>
      </w:pPr>
      <w:r>
        <w:rPr>
          <w:b/>
          <w:lang w:val="uk-UA"/>
        </w:rPr>
        <w:t>Додаток 4</w:t>
      </w:r>
      <w:r w:rsidR="00A22441" w:rsidRPr="00B46EC2">
        <w:rPr>
          <w:b/>
          <w:color w:val="000000"/>
          <w:lang w:val="uk-UA"/>
        </w:rPr>
        <w:t xml:space="preserve"> </w:t>
      </w:r>
    </w:p>
    <w:p w:rsidR="00A22441" w:rsidRPr="00B46EC2" w:rsidRDefault="00A22441">
      <w:pPr>
        <w:ind w:left="-6"/>
        <w:jc w:val="center"/>
      </w:pPr>
      <w:r w:rsidRPr="00B46EC2">
        <w:rPr>
          <w:b/>
          <w:bCs/>
          <w:lang w:val="uk-UA"/>
        </w:rPr>
        <w:t xml:space="preserve">ТЕХНІЧНЕ ЗАВДАННЯ  </w:t>
      </w:r>
    </w:p>
    <w:p w:rsidR="00A22441" w:rsidRPr="00B46EC2" w:rsidRDefault="00A22441">
      <w:pPr>
        <w:jc w:val="center"/>
      </w:pPr>
      <w:r w:rsidRPr="00B46EC2">
        <w:rPr>
          <w:b/>
          <w:lang w:val="uk-UA"/>
        </w:rPr>
        <w:t xml:space="preserve">на закупівлю приладів обліку води </w:t>
      </w:r>
      <w:r w:rsidRPr="00B46EC2">
        <w:rPr>
          <w:b/>
          <w:bCs/>
          <w:lang w:val="uk-UA"/>
        </w:rPr>
        <w:t>з підключенням до автоматизованої системи збору та відображення  поточних та архівних параметрів</w:t>
      </w:r>
    </w:p>
    <w:p w:rsidR="00A22441" w:rsidRPr="00B46EC2" w:rsidRDefault="00A22441">
      <w:pPr>
        <w:jc w:val="center"/>
        <w:rPr>
          <w:b/>
          <w:u w:val="single"/>
          <w:lang w:val="uk-UA"/>
        </w:rPr>
      </w:pPr>
    </w:p>
    <w:p w:rsidR="00A22441" w:rsidRPr="00B46EC2" w:rsidRDefault="00A22441">
      <w:pPr>
        <w:jc w:val="center"/>
        <w:rPr>
          <w:b/>
          <w:u w:val="single"/>
          <w:lang w:val="uk-UA"/>
        </w:rPr>
      </w:pPr>
    </w:p>
    <w:p w:rsidR="00A22441" w:rsidRPr="00B46EC2" w:rsidRDefault="00A22441">
      <w:pPr>
        <w:jc w:val="center"/>
        <w:rPr>
          <w:lang w:val="uk-UA"/>
        </w:rPr>
      </w:pPr>
      <w:r w:rsidRPr="00B46EC2">
        <w:rPr>
          <w:b/>
          <w:u w:val="single"/>
          <w:lang w:val="uk-UA"/>
        </w:rPr>
        <w:t>І. Загальні вимоги</w:t>
      </w:r>
    </w:p>
    <w:p w:rsidR="00A22441" w:rsidRPr="00B46EC2" w:rsidRDefault="00A22441">
      <w:pPr>
        <w:rPr>
          <w:b/>
          <w:u w:val="single"/>
          <w:lang w:val="uk-UA"/>
        </w:rPr>
      </w:pPr>
    </w:p>
    <w:p w:rsidR="00A22441" w:rsidRPr="00B46EC2" w:rsidRDefault="00A22441" w:rsidP="00123DE8">
      <w:pPr>
        <w:ind w:firstLine="340"/>
        <w:jc w:val="both"/>
        <w:rPr>
          <w:lang w:val="uk-UA"/>
        </w:rPr>
      </w:pPr>
      <w:r w:rsidRPr="00B46EC2">
        <w:rPr>
          <w:lang w:val="uk-UA"/>
        </w:rPr>
        <w:t xml:space="preserve">1.1. У разі якщо Учасник закупівлі не є виробником продукції він надає документ про </w:t>
      </w:r>
      <w:proofErr w:type="spellStart"/>
      <w:r w:rsidRPr="00B46EC2">
        <w:rPr>
          <w:lang w:val="uk-UA"/>
        </w:rPr>
        <w:t>взаємопрацю</w:t>
      </w:r>
      <w:proofErr w:type="spellEnd"/>
      <w:r w:rsidRPr="00B46EC2">
        <w:rPr>
          <w:lang w:val="uk-UA"/>
        </w:rPr>
        <w:t xml:space="preserve"> з виробником (дилерський лист або сертифікат дилера тощо).</w:t>
      </w:r>
    </w:p>
    <w:p w:rsidR="00A22441" w:rsidRPr="00B46EC2" w:rsidRDefault="00B46EC2" w:rsidP="00123DE8">
      <w:pPr>
        <w:ind w:firstLine="340"/>
        <w:jc w:val="both"/>
      </w:pPr>
      <w:r w:rsidRPr="00B46EC2">
        <w:rPr>
          <w:lang w:val="uk-UA"/>
        </w:rPr>
        <w:t>1.2</w:t>
      </w:r>
      <w:r w:rsidR="00A22441" w:rsidRPr="00B46EC2">
        <w:rPr>
          <w:lang w:val="uk-UA"/>
        </w:rPr>
        <w:t>. Товар повинен бути новим, виготовлення 2024 року. Поставка Товару, бувшого у вжитку або відновленого, не допускається.</w:t>
      </w:r>
    </w:p>
    <w:p w:rsidR="00A22441" w:rsidRPr="008E6C26" w:rsidRDefault="00B46EC2" w:rsidP="00123DE8">
      <w:pPr>
        <w:spacing w:before="120"/>
        <w:ind w:firstLine="426"/>
        <w:jc w:val="both"/>
      </w:pPr>
      <w:r w:rsidRPr="00B46EC2">
        <w:rPr>
          <w:lang w:val="uk-UA"/>
        </w:rPr>
        <w:t>1.3</w:t>
      </w:r>
      <w:r w:rsidR="00A22441" w:rsidRPr="00B46EC2">
        <w:rPr>
          <w:lang w:val="uk-UA"/>
        </w:rPr>
        <w:t>. Учасник повинен надати копію паспорту або формуляру, настанову з експлуатації  на запропо</w:t>
      </w:r>
      <w:r w:rsidR="00123DE8" w:rsidRPr="00B46EC2">
        <w:rPr>
          <w:lang w:val="uk-UA"/>
        </w:rPr>
        <w:t>новані ультразвукові лічильники</w:t>
      </w:r>
      <w:r w:rsidR="009635E3" w:rsidRPr="00B46EC2">
        <w:rPr>
          <w:lang w:val="uk-UA"/>
        </w:rPr>
        <w:t>.</w:t>
      </w:r>
    </w:p>
    <w:p w:rsidR="00123DE8" w:rsidRPr="0022613F" w:rsidRDefault="00B46EC2" w:rsidP="00123DE8">
      <w:pPr>
        <w:ind w:firstLine="426"/>
        <w:jc w:val="both"/>
        <w:rPr>
          <w:lang w:val="uk-UA"/>
        </w:rPr>
      </w:pPr>
      <w:r w:rsidRPr="00B46EC2">
        <w:t>1.</w:t>
      </w:r>
      <w:r w:rsidRPr="00B46EC2">
        <w:rPr>
          <w:lang w:val="uk-UA"/>
        </w:rPr>
        <w:t>4</w:t>
      </w:r>
      <w:r w:rsidR="00123DE8" w:rsidRPr="00B46EC2">
        <w:t xml:space="preserve">. </w:t>
      </w:r>
      <w:proofErr w:type="spellStart"/>
      <w:r w:rsidR="00123DE8" w:rsidRPr="00B46EC2">
        <w:t>Продавець</w:t>
      </w:r>
      <w:proofErr w:type="spellEnd"/>
      <w:r w:rsidR="00123DE8" w:rsidRPr="00B46EC2">
        <w:t xml:space="preserve"> </w:t>
      </w:r>
      <w:proofErr w:type="spellStart"/>
      <w:r w:rsidR="00123DE8" w:rsidRPr="00B46EC2">
        <w:t>обладнання</w:t>
      </w:r>
      <w:proofErr w:type="spellEnd"/>
      <w:r w:rsidR="00123DE8" w:rsidRPr="00B46EC2">
        <w:t xml:space="preserve"> повинен </w:t>
      </w:r>
      <w:proofErr w:type="spellStart"/>
      <w:r w:rsidR="00123DE8" w:rsidRPr="00B46EC2">
        <w:t>забезпечити</w:t>
      </w:r>
      <w:proofErr w:type="spellEnd"/>
      <w:r w:rsidR="00123DE8" w:rsidRPr="00B46EC2">
        <w:t xml:space="preserve"> </w:t>
      </w:r>
      <w:proofErr w:type="spellStart"/>
      <w:r w:rsidR="00123DE8" w:rsidRPr="00B46EC2">
        <w:t>проведення</w:t>
      </w:r>
      <w:proofErr w:type="spellEnd"/>
      <w:r w:rsidR="00123DE8" w:rsidRPr="00B46EC2">
        <w:t xml:space="preserve"> </w:t>
      </w:r>
      <w:proofErr w:type="spellStart"/>
      <w:r w:rsidR="00123DE8" w:rsidRPr="00B46EC2">
        <w:t>навчання</w:t>
      </w:r>
      <w:proofErr w:type="spellEnd"/>
      <w:r w:rsidR="00123DE8" w:rsidRPr="00B46EC2">
        <w:t xml:space="preserve"> персоналу </w:t>
      </w:r>
      <w:proofErr w:type="spellStart"/>
      <w:r w:rsidR="00123DE8" w:rsidRPr="00B46EC2">
        <w:t>Замовника</w:t>
      </w:r>
      <w:proofErr w:type="spellEnd"/>
      <w:r w:rsidR="00123DE8" w:rsidRPr="00B46EC2">
        <w:t xml:space="preserve"> </w:t>
      </w:r>
      <w:proofErr w:type="spellStart"/>
      <w:r w:rsidR="00123DE8" w:rsidRPr="00B46EC2">
        <w:t>роботі</w:t>
      </w:r>
      <w:proofErr w:type="spellEnd"/>
      <w:r w:rsidR="00123DE8" w:rsidRPr="00B46EC2">
        <w:t xml:space="preserve"> з </w:t>
      </w:r>
      <w:proofErr w:type="spellStart"/>
      <w:r w:rsidR="00123DE8" w:rsidRPr="00B46EC2">
        <w:t>обладнанням</w:t>
      </w:r>
      <w:proofErr w:type="spellEnd"/>
      <w:r w:rsidR="00123DE8" w:rsidRPr="00B46EC2">
        <w:t xml:space="preserve"> </w:t>
      </w:r>
      <w:r w:rsidR="0022613F">
        <w:rPr>
          <w:lang w:val="uk-UA"/>
        </w:rPr>
        <w:t>у Виробника.</w:t>
      </w:r>
    </w:p>
    <w:p w:rsidR="00123DE8" w:rsidRPr="00B46EC2" w:rsidRDefault="00B46EC2" w:rsidP="009635E3">
      <w:pPr>
        <w:ind w:firstLine="426"/>
        <w:jc w:val="both"/>
      </w:pPr>
      <w:r w:rsidRPr="00B46EC2">
        <w:t>1.</w:t>
      </w:r>
      <w:r w:rsidRPr="00B46EC2">
        <w:rPr>
          <w:lang w:val="uk-UA"/>
        </w:rPr>
        <w:t>5</w:t>
      </w:r>
      <w:r w:rsidR="00123DE8" w:rsidRPr="00B46EC2">
        <w:t xml:space="preserve">. </w:t>
      </w:r>
      <w:proofErr w:type="spellStart"/>
      <w:r w:rsidR="00123DE8" w:rsidRPr="00B46EC2">
        <w:t>Продавець</w:t>
      </w:r>
      <w:proofErr w:type="spellEnd"/>
      <w:r w:rsidR="00123DE8" w:rsidRPr="00B46EC2">
        <w:t xml:space="preserve"> </w:t>
      </w:r>
      <w:proofErr w:type="gramStart"/>
      <w:r w:rsidR="00123DE8" w:rsidRPr="00B46EC2">
        <w:t xml:space="preserve">повинен  </w:t>
      </w:r>
      <w:proofErr w:type="spellStart"/>
      <w:r w:rsidR="00123DE8" w:rsidRPr="00B46EC2">
        <w:t>надати</w:t>
      </w:r>
      <w:proofErr w:type="spellEnd"/>
      <w:proofErr w:type="gramEnd"/>
      <w:r w:rsidR="00123DE8" w:rsidRPr="00B46EC2">
        <w:t xml:space="preserve"> </w:t>
      </w:r>
      <w:r w:rsidR="009635E3" w:rsidRPr="00B46EC2">
        <w:t>лист-</w:t>
      </w:r>
      <w:proofErr w:type="spellStart"/>
      <w:r w:rsidR="009635E3" w:rsidRPr="00B46EC2">
        <w:t>гарантію</w:t>
      </w:r>
      <w:proofErr w:type="spellEnd"/>
      <w:r w:rsidR="009635E3" w:rsidRPr="00B46EC2">
        <w:t xml:space="preserve"> </w:t>
      </w:r>
      <w:proofErr w:type="spellStart"/>
      <w:r w:rsidR="00123DE8" w:rsidRPr="00B46EC2">
        <w:t>наявності</w:t>
      </w:r>
      <w:proofErr w:type="spellEnd"/>
      <w:r w:rsidR="00123DE8" w:rsidRPr="00B46EC2">
        <w:t xml:space="preserve">  </w:t>
      </w:r>
      <w:proofErr w:type="spellStart"/>
      <w:r w:rsidR="00123DE8" w:rsidRPr="00B46EC2">
        <w:t>сервісного</w:t>
      </w:r>
      <w:proofErr w:type="spellEnd"/>
      <w:r w:rsidR="00123DE8" w:rsidRPr="00B46EC2">
        <w:t xml:space="preserve"> центру на </w:t>
      </w:r>
      <w:proofErr w:type="spellStart"/>
      <w:r w:rsidR="00123DE8" w:rsidRPr="00B46EC2">
        <w:t>території</w:t>
      </w:r>
      <w:proofErr w:type="spellEnd"/>
      <w:r w:rsidR="00123DE8" w:rsidRPr="00B46EC2">
        <w:t xml:space="preserve"> </w:t>
      </w:r>
      <w:proofErr w:type="spellStart"/>
      <w:r w:rsidR="00123DE8" w:rsidRPr="00B46EC2">
        <w:t>Україні</w:t>
      </w:r>
      <w:proofErr w:type="spellEnd"/>
      <w:r w:rsidR="00123DE8" w:rsidRPr="00B46EC2">
        <w:t xml:space="preserve"> з </w:t>
      </w:r>
      <w:proofErr w:type="spellStart"/>
      <w:r w:rsidR="00123DE8" w:rsidRPr="00B46EC2">
        <w:t>можливістю</w:t>
      </w:r>
      <w:proofErr w:type="spellEnd"/>
      <w:r w:rsidR="00123DE8" w:rsidRPr="00B46EC2">
        <w:t xml:space="preserve"> ремонту і </w:t>
      </w:r>
      <w:proofErr w:type="spellStart"/>
      <w:r w:rsidR="00123DE8" w:rsidRPr="00B46EC2">
        <w:t>обслуговування</w:t>
      </w:r>
      <w:proofErr w:type="spellEnd"/>
      <w:r w:rsidR="00123DE8" w:rsidRPr="00B46EC2">
        <w:t xml:space="preserve"> </w:t>
      </w:r>
      <w:proofErr w:type="spellStart"/>
      <w:r w:rsidR="00123DE8" w:rsidRPr="00B46EC2">
        <w:t>обладнання</w:t>
      </w:r>
      <w:proofErr w:type="spellEnd"/>
      <w:r w:rsidR="00123DE8" w:rsidRPr="00B46EC2">
        <w:t xml:space="preserve">, </w:t>
      </w:r>
      <w:proofErr w:type="spellStart"/>
      <w:r w:rsidR="00123DE8" w:rsidRPr="00B46EC2">
        <w:t>що</w:t>
      </w:r>
      <w:proofErr w:type="spellEnd"/>
      <w:r w:rsidR="00123DE8" w:rsidRPr="00B46EC2">
        <w:t xml:space="preserve"> </w:t>
      </w:r>
      <w:proofErr w:type="spellStart"/>
      <w:r w:rsidR="00123DE8" w:rsidRPr="00B46EC2">
        <w:t>пропонується</w:t>
      </w:r>
      <w:proofErr w:type="spellEnd"/>
      <w:r w:rsidR="00123DE8" w:rsidRPr="00B46EC2">
        <w:t xml:space="preserve">. </w:t>
      </w:r>
    </w:p>
    <w:p w:rsidR="00A22441" w:rsidRPr="00B46EC2" w:rsidRDefault="00A22441">
      <w:pPr>
        <w:jc w:val="both"/>
        <w:rPr>
          <w:lang w:val="uk-UA"/>
        </w:rPr>
      </w:pPr>
    </w:p>
    <w:p w:rsidR="00A22441" w:rsidRPr="00B46EC2" w:rsidRDefault="00A22441">
      <w:pPr>
        <w:jc w:val="both"/>
        <w:rPr>
          <w:lang w:val="uk-UA"/>
        </w:rPr>
      </w:pPr>
    </w:p>
    <w:p w:rsidR="00A22441" w:rsidRPr="00B46EC2" w:rsidRDefault="00A22441">
      <w:pPr>
        <w:jc w:val="center"/>
      </w:pPr>
      <w:r w:rsidRPr="00B46EC2">
        <w:rPr>
          <w:b/>
          <w:lang w:val="uk-UA"/>
        </w:rPr>
        <w:t>ІІ. Технічні вимоги до лічильників води</w:t>
      </w:r>
    </w:p>
    <w:p w:rsidR="00A22441" w:rsidRPr="00B46EC2" w:rsidRDefault="00A22441">
      <w:pPr>
        <w:jc w:val="both"/>
      </w:pPr>
      <w:r w:rsidRPr="00B46EC2">
        <w:rPr>
          <w:lang w:val="uk-UA"/>
        </w:rPr>
        <w:t>У разі надання еквіваленту  необхідно заповнити таблицю відповідності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7"/>
        <w:gridCol w:w="4590"/>
      </w:tblGrid>
      <w:tr w:rsidR="00A22441">
        <w:tc>
          <w:tcPr>
            <w:tcW w:w="5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Default="00A22441">
            <w:pPr>
              <w:jc w:val="center"/>
            </w:pPr>
            <w:r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4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Default="00A22441">
            <w:pPr>
              <w:jc w:val="center"/>
            </w:pPr>
            <w:r>
              <w:rPr>
                <w:b/>
                <w:bCs/>
                <w:lang w:val="uk-UA"/>
              </w:rPr>
              <w:t>ПІДТВЕРДЖЕННЯ ВІДПОВІДНОСТІ</w:t>
            </w:r>
          </w:p>
        </w:tc>
      </w:tr>
      <w:tr w:rsidR="00A22441" w:rsidRPr="004949EA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Лічильник води має відповідати ТЕХНІЧНОМУ РЕГЛАМЕНТУ, що ЗАТВЕРДЖЕНО постановою Кабінету Міністрів України від 24 лютого 2016 р. № 163 та ДСТУ EN ISO 4064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contextualSpacing/>
              <w:jc w:val="both"/>
            </w:pPr>
            <w:r w:rsidRPr="001348C3">
              <w:rPr>
                <w:lang w:val="uk-UA"/>
              </w:rPr>
              <w:t>Надати у складі пропозиції зразок декларації відповідності на прилади поточного року виготовлення за модулем B+F або B+D.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contextualSpacing/>
              <w:jc w:val="both"/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contextualSpacing/>
              <w:jc w:val="both"/>
            </w:pPr>
            <w:r w:rsidRPr="001348C3">
              <w:rPr>
                <w:lang w:val="uk-UA"/>
              </w:rPr>
              <w:t>На підтвердження надати скановані копії сертифікатів  B+F та B+D у повному обсязі. Сертифікат за модулем D має містити відомості про прилади, які мають право виготовлятися за цим сертифікатом із зазначенням номерів сертифікатів за модулем В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contextualSpacing/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Лічильник води має забезпечити можливість обліку витрати води без додаткового гідравлічного опору.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Метод вимірювання — ультразвуковий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 xml:space="preserve">Витратомірні пристрої мають бути у вигляді вставки фланцевого виконання 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Забезпечити виконання наступних вимог - DN150 / Q4-787 /  PN16 / Т90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93309B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Забезпечити  відповідність</w:t>
            </w:r>
            <w:r w:rsidR="00FA2A0D" w:rsidRPr="001348C3">
              <w:rPr>
                <w:lang w:val="uk-UA"/>
              </w:rPr>
              <w:t xml:space="preserve"> </w:t>
            </w:r>
            <w:r w:rsidR="00A22441" w:rsidRPr="001348C3">
              <w:rPr>
                <w:lang w:val="uk-UA"/>
              </w:rPr>
              <w:t xml:space="preserve"> П4 ДСТУ EN ISO 4064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 xml:space="preserve">Фланцеві кріплення  мають відповідати ДСТУ ISO 7005 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Клас зовнішніх електромагнітних умов — Е2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lastRenderedPageBreak/>
              <w:t>Клас зовнішніх механічних умов - М2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Забезпечити наявність функції самодіагностики первинних перетворювачів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Забезпечити в наявності функцію вимірювання тиску.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Обладнання має забезпечити фіксування та вимірювання реверсивних напрямків потоку з відповідною сигналізацією.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Забезпечити наявність функції вимірювання температури води.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Автоматичне налаштування параметрів вимірювального сигналу для виключення людського фактору при проведенні налагоджувальних робіт.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93309B" w:rsidP="0093309B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 xml:space="preserve">Забезпечити </w:t>
            </w:r>
            <w:r w:rsidR="00A22441" w:rsidRPr="001348C3">
              <w:rPr>
                <w:lang w:val="uk-UA"/>
              </w:rPr>
              <w:t>виконання П6.8.2 ДСТУ EN ISO 4064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93309B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Н</w:t>
            </w:r>
            <w:r w:rsidR="00A22441" w:rsidRPr="001348C3">
              <w:rPr>
                <w:lang w:val="uk-UA"/>
              </w:rPr>
              <w:t>аявність апаратного та програмного захисту доступу до налаштувань.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Всі зміни налагоджувальних параметрів мають автоматично фіксуватися у відповідному архіві.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Передбачити функцію індивідуального налаштування кожного каналу вимірювання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Для підключення перетворювачів температури передбачити входів — не менше 3</w:t>
            </w:r>
            <w:r w:rsid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Передбачити струмові входи (0-5 або 4-20 мА) - не менше 3.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Імпульсних (дискретних) входів, не менше 2 для підключення сигналів типу “сухий контакт” в режимі “облік” або “сигналізація”</w:t>
            </w:r>
            <w:r w:rsid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Мати струмові виходи (0-5 або 4-20 мА), не менше 2.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Імпульсні виходи (дискретні), не менше 2.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Забезпечити функцію спрацьовування дискретних виходів в режимі “сигналізація”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Забезпечити наявність функції ініціювання зв’язку за подією та/або аварією.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Забезпечити наявність інтерфейсів, що відповідає ЕIA/ТIA 232  та UART інтерфейс, сумісного із специфікацією i8251 (</w:t>
            </w:r>
            <w:proofErr w:type="spellStart"/>
            <w:r w:rsidRPr="001348C3">
              <w:rPr>
                <w:lang w:val="uk-UA"/>
              </w:rPr>
              <w:t>Intel</w:t>
            </w:r>
            <w:proofErr w:type="spellEnd"/>
            <w:r w:rsidRPr="001348C3">
              <w:rPr>
                <w:lang w:val="uk-UA"/>
              </w:rPr>
              <w:t>)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 xml:space="preserve">Забезпечити можливість підключення комунікаційних пристроїв, сумісних стандарту DCE </w:t>
            </w:r>
            <w:proofErr w:type="spellStart"/>
            <w:r w:rsidRPr="001348C3">
              <w:rPr>
                <w:lang w:val="uk-UA"/>
              </w:rPr>
              <w:t>Device</w:t>
            </w:r>
            <w:proofErr w:type="spellEnd"/>
            <w:r w:rsidRPr="001348C3">
              <w:rPr>
                <w:lang w:val="uk-UA"/>
              </w:rPr>
              <w:t xml:space="preserve"> DB9 </w:t>
            </w:r>
            <w:proofErr w:type="spellStart"/>
            <w:r w:rsidRPr="001348C3">
              <w:rPr>
                <w:lang w:val="uk-UA"/>
              </w:rPr>
              <w:t>Female</w:t>
            </w:r>
            <w:proofErr w:type="spellEnd"/>
            <w:r w:rsidRPr="001348C3">
              <w:rPr>
                <w:lang w:val="uk-UA"/>
              </w:rPr>
              <w:t xml:space="preserve"> відповідно до  ЕIA/ТIA-232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 xml:space="preserve">Забезпечити наявність стандартних промислових протоколів </w:t>
            </w:r>
            <w:proofErr w:type="spellStart"/>
            <w:r w:rsidRPr="001348C3">
              <w:rPr>
                <w:lang w:val="uk-UA"/>
              </w:rPr>
              <w:t>ModBus</w:t>
            </w:r>
            <w:proofErr w:type="spellEnd"/>
            <w:r w:rsidRPr="001348C3">
              <w:rPr>
                <w:lang w:val="uk-UA"/>
              </w:rPr>
              <w:t xml:space="preserve"> </w:t>
            </w:r>
            <w:proofErr w:type="spellStart"/>
            <w:r w:rsidRPr="001348C3">
              <w:rPr>
                <w:lang w:val="uk-UA"/>
              </w:rPr>
              <w:t>rtu</w:t>
            </w:r>
            <w:proofErr w:type="spellEnd"/>
            <w:r w:rsidRPr="001348C3">
              <w:rPr>
                <w:lang w:val="uk-UA"/>
              </w:rPr>
              <w:t xml:space="preserve">, </w:t>
            </w:r>
            <w:proofErr w:type="spellStart"/>
            <w:r w:rsidRPr="001348C3">
              <w:rPr>
                <w:lang w:val="uk-UA"/>
              </w:rPr>
              <w:t>ModBus</w:t>
            </w:r>
            <w:proofErr w:type="spellEnd"/>
            <w:r w:rsidRPr="001348C3">
              <w:rPr>
                <w:lang w:val="uk-UA"/>
              </w:rPr>
              <w:t xml:space="preserve"> </w:t>
            </w:r>
            <w:proofErr w:type="spellStart"/>
            <w:r w:rsidRPr="001348C3">
              <w:rPr>
                <w:lang w:val="uk-UA"/>
              </w:rPr>
              <w:t>tcp</w:t>
            </w:r>
            <w:proofErr w:type="spellEnd"/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lastRenderedPageBreak/>
              <w:t>Забезпечення передачі поточних значень та архівних даних з дискретністю не гірше 3-5 секунд.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1348C3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8C3" w:rsidRPr="001348C3" w:rsidRDefault="001348C3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Наявність функції синхронізації часу.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8C3" w:rsidRPr="001348C3" w:rsidRDefault="001348C3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48C3" w:rsidRPr="001348C3" w:rsidRDefault="001348C3" w:rsidP="001348C3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Наявність архівів, не менше(записів)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годинних,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                                              1480.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добових,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                                                160.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місячних,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                                               36.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архів подій,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                                            2000.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архів </w:t>
            </w:r>
            <w:proofErr w:type="spellStart"/>
            <w:r w:rsidRPr="001348C3">
              <w:rPr>
                <w:lang w:val="uk-UA"/>
              </w:rPr>
              <w:t>втручань</w:t>
            </w:r>
            <w:proofErr w:type="spellEnd"/>
            <w:r w:rsidRPr="001348C3">
              <w:rPr>
                <w:lang w:val="uk-UA"/>
              </w:rPr>
              <w:t xml:space="preserve">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                                      500.</w:t>
            </w:r>
          </w:p>
          <w:p w:rsidR="001348C3" w:rsidRPr="001348C3" w:rsidRDefault="001348C3" w:rsidP="001348C3">
            <w:pPr>
              <w:ind w:left="-57"/>
              <w:jc w:val="both"/>
            </w:pPr>
            <w:r w:rsidRPr="001348C3">
              <w:rPr>
                <w:lang w:val="uk-UA"/>
              </w:rPr>
              <w:t xml:space="preserve">технологічний(хвилина або секунда), </w:t>
            </w:r>
            <w:proofErr w:type="spellStart"/>
            <w:r w:rsidRPr="001348C3">
              <w:rPr>
                <w:lang w:val="uk-UA"/>
              </w:rPr>
              <w:t>зап</w:t>
            </w:r>
            <w:proofErr w:type="spellEnd"/>
            <w:r w:rsidRPr="001348C3">
              <w:rPr>
                <w:lang w:val="uk-UA"/>
              </w:rPr>
              <w:t xml:space="preserve">  2880</w:t>
            </w:r>
          </w:p>
          <w:p w:rsidR="00A22441" w:rsidRPr="001348C3" w:rsidRDefault="00A22441" w:rsidP="001348C3">
            <w:pPr>
              <w:ind w:left="720"/>
              <w:jc w:val="both"/>
            </w:pP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Живлення: мережа 220 В</w:t>
            </w:r>
            <w:r w:rsid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F73F2A">
            <w:pPr>
              <w:numPr>
                <w:ilvl w:val="0"/>
                <w:numId w:val="1"/>
              </w:numPr>
              <w:jc w:val="both"/>
            </w:pPr>
            <w:r>
              <w:rPr>
                <w:lang w:val="uk-UA"/>
              </w:rPr>
              <w:t xml:space="preserve">Забезпечити </w:t>
            </w:r>
            <w:r w:rsidR="0022613F" w:rsidRPr="001348C3">
              <w:rPr>
                <w:lang w:val="uk-UA"/>
              </w:rPr>
              <w:t xml:space="preserve">влаштування каналу передачі даних за протоколом </w:t>
            </w:r>
            <w:r w:rsidR="0022613F" w:rsidRPr="001348C3">
              <w:rPr>
                <w:lang w:val="en-US"/>
              </w:rPr>
              <w:t>GSM</w:t>
            </w:r>
            <w:r w:rsidR="0022613F" w:rsidRPr="001348C3">
              <w:t>/</w:t>
            </w:r>
            <w:r w:rsidR="0022613F" w:rsidRPr="001348C3">
              <w:rPr>
                <w:lang w:val="en-US"/>
              </w:rPr>
              <w:t>GPRS</w:t>
            </w:r>
            <w:r w:rsidR="001348C3" w:rsidRP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Засоби вимірювальної техніки повинні бути оснащені енергонезалежною пам’яттю.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>Міжповірочний інтервал, не менше  4 років.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22613F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>Середній термін служби не менше 10 р.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</w:pPr>
            <w:r w:rsidRPr="001348C3">
              <w:rPr>
                <w:lang w:val="uk-UA"/>
              </w:rPr>
              <w:t xml:space="preserve">Довжина кабельної траси не менше 20 </w:t>
            </w:r>
            <w:proofErr w:type="spellStart"/>
            <w:r w:rsidRPr="001348C3">
              <w:rPr>
                <w:lang w:val="uk-UA"/>
              </w:rPr>
              <w:t>м.п</w:t>
            </w:r>
            <w:proofErr w:type="spellEnd"/>
            <w:r w:rsidRP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  <w:tr w:rsidR="00A22441" w:rsidRPr="001348C3">
        <w:tc>
          <w:tcPr>
            <w:tcW w:w="5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1348C3">
              <w:rPr>
                <w:lang w:val="uk-UA"/>
              </w:rPr>
              <w:t xml:space="preserve">У випадку додаткової потреби прилад має забезпечити можливість </w:t>
            </w:r>
            <w:r w:rsidRPr="001348C3">
              <w:rPr>
                <w:iCs/>
                <w:shd w:val="clear" w:color="auto" w:fill="FDFEFD"/>
                <w:lang w:val="uk-UA"/>
              </w:rPr>
              <w:t>подовження лінії зв’язку та/або підключення каналу з довжиною до 500 метрів</w:t>
            </w:r>
            <w:r w:rsidRPr="001348C3">
              <w:rPr>
                <w:lang w:val="uk-UA"/>
              </w:rPr>
              <w:t>.</w:t>
            </w:r>
          </w:p>
        </w:tc>
        <w:tc>
          <w:tcPr>
            <w:tcW w:w="4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441" w:rsidRPr="001348C3" w:rsidRDefault="00A22441">
            <w:pPr>
              <w:jc w:val="both"/>
              <w:rPr>
                <w:lang w:val="uk-UA"/>
              </w:rPr>
            </w:pPr>
          </w:p>
        </w:tc>
      </w:tr>
    </w:tbl>
    <w:p w:rsidR="00123DE8" w:rsidRDefault="00123DE8" w:rsidP="00123DE8">
      <w:pPr>
        <w:rPr>
          <w:b/>
        </w:rPr>
      </w:pPr>
    </w:p>
    <w:p w:rsidR="008E6C26" w:rsidRPr="004949EA" w:rsidRDefault="008E6C26" w:rsidP="00123DE8">
      <w:pPr>
        <w:rPr>
          <w:b/>
          <w:lang w:val="uk-UA"/>
        </w:rPr>
      </w:pPr>
      <w:bookmarkStart w:id="0" w:name="_GoBack"/>
      <w:bookmarkEnd w:id="0"/>
    </w:p>
    <w:sectPr w:rsidR="008E6C26" w:rsidRPr="004949EA">
      <w:pgSz w:w="11906" w:h="16838"/>
      <w:pgMar w:top="62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uk-UA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164201"/>
    <w:multiLevelType w:val="multilevel"/>
    <w:tmpl w:val="E1DC4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E8"/>
    <w:rsid w:val="00123DE8"/>
    <w:rsid w:val="001348C3"/>
    <w:rsid w:val="0022613F"/>
    <w:rsid w:val="003476D1"/>
    <w:rsid w:val="004949EA"/>
    <w:rsid w:val="00571C27"/>
    <w:rsid w:val="005A4065"/>
    <w:rsid w:val="008E6C26"/>
    <w:rsid w:val="0093309B"/>
    <w:rsid w:val="009635E3"/>
    <w:rsid w:val="00A22441"/>
    <w:rsid w:val="00B46EC2"/>
    <w:rsid w:val="00F73F2A"/>
    <w:rsid w:val="00F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579FBC3-8F9D-4F6F-BB32-C01C0A8A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lang w:val="uk-U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ListLabel1">
    <w:name w:val="ListLabel 1"/>
    <w:rPr>
      <w:lang w:val="uk-UA"/>
    </w:rPr>
  </w:style>
  <w:style w:type="character" w:customStyle="1" w:styleId="ListLabel2">
    <w:name w:val="ListLabel 2"/>
    <w:rPr>
      <w:rFonts w:cs="OpenSymbol"/>
      <w:lang w:val="uk-UA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  <w:lang w:val="uk-UA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  <w:lang w:val="uk-UA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lang w:val="uk-UA"/>
    </w:rPr>
  </w:style>
  <w:style w:type="character" w:customStyle="1" w:styleId="ListLabel12">
    <w:name w:val="ListLabel 12"/>
    <w:rPr>
      <w:rFonts w:cs="OpenSymbol"/>
      <w:lang w:val="uk-UA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  <w:lang w:val="uk-UA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  <w:lang w:val="uk-UA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Times New Roman"/>
      <w:sz w:val="24"/>
      <w:lang w:val="uk-UA"/>
    </w:rPr>
  </w:style>
  <w:style w:type="character" w:customStyle="1" w:styleId="ListLabel22">
    <w:name w:val="ListLabel 22"/>
    <w:rPr>
      <w:rFonts w:cs="OpenSymbol"/>
      <w:lang w:val="uk-UA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  <w:lang w:val="uk-UA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  <w:lang w:val="uk-UA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ascii="Times New Roman" w:hAnsi="Times New Roman" w:cs="Times New Roman"/>
      <w:sz w:val="24"/>
      <w:lang w:val="uk-UA"/>
    </w:rPr>
  </w:style>
  <w:style w:type="character" w:customStyle="1" w:styleId="ListLabel32">
    <w:name w:val="ListLabel 32"/>
    <w:rPr>
      <w:rFonts w:cs="OpenSymbol"/>
      <w:lang w:val="uk-UA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  <w:lang w:val="uk-UA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  <w:lang w:val="uk-UA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ascii="Times New Roman" w:hAnsi="Times New Roman" w:cs="Times New Roman"/>
      <w:sz w:val="24"/>
      <w:lang w:val="uk-UA"/>
    </w:rPr>
  </w:style>
  <w:style w:type="character" w:customStyle="1" w:styleId="ListLabel42">
    <w:name w:val="ListLabel 42"/>
    <w:rPr>
      <w:rFonts w:cs="OpenSymbol"/>
      <w:lang w:val="uk-UA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  <w:lang w:val="uk-UA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  <w:lang w:val="uk-UA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a4">
    <w:name w:val="Символ нумерації"/>
  </w:style>
  <w:style w:type="paragraph" w:styleId="a5">
    <w:name w:val="Title"/>
    <w:basedOn w:val="a"/>
    <w:next w:val="a6"/>
    <w:pPr>
      <w:keepNext/>
      <w:spacing w:before="240" w:after="120"/>
    </w:pPr>
    <w:rPr>
      <w:rFonts w:ascii="Courier New" w:hAnsi="Courier New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eastAsia="MS Mincho"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eastAsia="MS Mincho" w:cs="Lucida Sans"/>
      <w:i/>
      <w:iCs/>
    </w:rPr>
  </w:style>
  <w:style w:type="paragraph" w:customStyle="1" w:styleId="a9">
    <w:name w:val="Покажчик"/>
    <w:basedOn w:val="a"/>
    <w:pPr>
      <w:suppressLineNumbers/>
    </w:pPr>
    <w:rPr>
      <w:rFonts w:eastAsia="MS Mincho"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eastAsia="MS Mincho"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eastAsia="MS Mincho" w:cs="Lucida Sans"/>
    </w:rPr>
  </w:style>
  <w:style w:type="paragraph" w:customStyle="1" w:styleId="aa">
    <w:name w:val="Вміст таблиці"/>
    <w:basedOn w:val="a"/>
    <w:pPr>
      <w:suppressLineNumbers/>
    </w:pPr>
  </w:style>
  <w:style w:type="paragraph" w:customStyle="1" w:styleId="ab">
    <w:name w:val="Заголовок таблиці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3F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3F2A"/>
    <w:rPr>
      <w:rFonts w:ascii="Segoe UI" w:hAnsi="Segoe UI" w:cs="Segoe UI"/>
      <w:sz w:val="18"/>
      <w:szCs w:val="18"/>
    </w:rPr>
  </w:style>
  <w:style w:type="character" w:customStyle="1" w:styleId="ae">
    <w:name w:val="Абзац списка Знак"/>
    <w:aliases w:val="EBRD List Знак,Список уровня 2 Знак,название табл/рис Знак,заголовок 1.1 Знак,Numbered List Знак"/>
    <w:link w:val="af"/>
    <w:uiPriority w:val="34"/>
    <w:locked/>
    <w:rsid w:val="008E6C26"/>
    <w:rPr>
      <w:rFonts w:ascii="Calibri" w:eastAsia="Calibri" w:hAnsi="Calibri" w:cs="Calibri"/>
      <w:lang w:val="uk-UA"/>
    </w:rPr>
  </w:style>
  <w:style w:type="paragraph" w:styleId="af">
    <w:name w:val="List Paragraph"/>
    <w:aliases w:val="EBRD List,Список уровня 2,название табл/рис,заголовок 1.1,Numbered List"/>
    <w:basedOn w:val="a"/>
    <w:link w:val="ae"/>
    <w:uiPriority w:val="34"/>
    <w:qFormat/>
    <w:rsid w:val="008E6C26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7</cp:lastModifiedBy>
  <cp:revision>4</cp:revision>
  <cp:lastPrinted>2024-04-08T08:22:00Z</cp:lastPrinted>
  <dcterms:created xsi:type="dcterms:W3CDTF">2024-04-08T08:37:00Z</dcterms:created>
  <dcterms:modified xsi:type="dcterms:W3CDTF">2024-04-11T09:21:00Z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