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0E" w14:textId="77777777" w:rsidR="001F0730" w:rsidRDefault="001F0730" w:rsidP="001F0730">
      <w:pPr>
        <w:spacing w:before="65" w:line="274" w:lineRule="exact"/>
        <w:ind w:left="5785"/>
        <w:rPr>
          <w:b/>
          <w:sz w:val="24"/>
        </w:rPr>
      </w:pPr>
      <w:r>
        <w:rPr>
          <w:b/>
          <w:sz w:val="24"/>
        </w:rPr>
        <w:t>Додаток №3</w:t>
      </w:r>
    </w:p>
    <w:p w14:paraId="3201D7EE" w14:textId="77777777" w:rsidR="001F0730" w:rsidRDefault="001F0730" w:rsidP="001F0730">
      <w:pPr>
        <w:spacing w:line="274" w:lineRule="exact"/>
        <w:ind w:left="5785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 xml:space="preserve">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6E6E62">
        <w:rPr>
          <w:bCs/>
          <w:iCs/>
          <w:sz w:val="24"/>
          <w:szCs w:val="24"/>
        </w:rPr>
        <w:t>закупівель</w:t>
      </w:r>
      <w:proofErr w:type="spellEnd"/>
      <w:r w:rsidRPr="006E6E62">
        <w:rPr>
          <w:bCs/>
          <w:iCs/>
          <w:sz w:val="24"/>
          <w:szCs w:val="24"/>
        </w:rPr>
        <w:t>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2558FA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98A" w14:textId="77777777" w:rsidR="002558FA" w:rsidRDefault="002558FA">
      <w:r>
        <w:separator/>
      </w:r>
    </w:p>
  </w:endnote>
  <w:endnote w:type="continuationSeparator" w:id="0">
    <w:p w14:paraId="59BE3E71" w14:textId="77777777" w:rsidR="002558FA" w:rsidRDefault="002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5357" w14:textId="77777777" w:rsidR="002558FA" w:rsidRDefault="002558FA">
      <w:r>
        <w:separator/>
      </w:r>
    </w:p>
  </w:footnote>
  <w:footnote w:type="continuationSeparator" w:id="0">
    <w:p w14:paraId="58676D18" w14:textId="77777777" w:rsidR="002558FA" w:rsidRDefault="0025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558FA"/>
    <w:rsid w:val="0029041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3159"/>
    <w:rsid w:val="005A63E3"/>
    <w:rsid w:val="006334C8"/>
    <w:rsid w:val="00766C61"/>
    <w:rsid w:val="007B3357"/>
    <w:rsid w:val="007C53EF"/>
    <w:rsid w:val="008237C7"/>
    <w:rsid w:val="008726B1"/>
    <w:rsid w:val="008B55BB"/>
    <w:rsid w:val="008C74D6"/>
    <w:rsid w:val="009022A4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CF718A"/>
    <w:rsid w:val="00D43C85"/>
    <w:rsid w:val="00E52C0B"/>
    <w:rsid w:val="00E7382D"/>
    <w:rsid w:val="00E97BBA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2024-01-17T07:04:00Z</dcterms:created>
  <dcterms:modified xsi:type="dcterms:W3CDTF">2024-01-17T07:04:00Z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