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rPr>
      </w:pPr>
      <w:r>
        <w:rPr>
          <w:b/>
        </w:rPr>
        <w:t xml:space="preserve"> ТОВАРИСТВО З ОБМЕЖЕНОЮ ВІДПОВІДАЛЬНІСТЮ</w:t>
      </w:r>
    </w:p>
    <w:p>
      <w:pPr>
        <w:jc w:val="center"/>
        <w:rPr>
          <w:b/>
        </w:rPr>
      </w:pPr>
      <w:r>
        <w:rPr>
          <w:b/>
        </w:rPr>
        <w:t>"ЗАПОРІЖЖЯЕЛЕКТРОПОСТАЧАННЯ"</w:t>
      </w:r>
    </w:p>
    <w:p>
      <w:pPr>
        <w:pStyle w:val="15"/>
        <w:widowControl w:val="0"/>
        <w:tabs>
          <w:tab w:val="clear" w:pos="4153"/>
          <w:tab w:val="clear" w:pos="8306"/>
        </w:tabs>
        <w:rPr>
          <w:rFonts w:cs="Times New Roman"/>
          <w:b/>
        </w:rPr>
      </w:pPr>
    </w:p>
    <w:p>
      <w:pPr>
        <w:pStyle w:val="15"/>
        <w:widowControl w:val="0"/>
        <w:tabs>
          <w:tab w:val="clear" w:pos="4153"/>
          <w:tab w:val="clear" w:pos="8306"/>
        </w:tabs>
        <w:rPr>
          <w:rFonts w:cs="Times New Roman"/>
          <w:b/>
        </w:rPr>
      </w:pPr>
    </w:p>
    <w:p>
      <w:pPr>
        <w:pStyle w:val="15"/>
        <w:widowControl w:val="0"/>
        <w:tabs>
          <w:tab w:val="clear" w:pos="4153"/>
          <w:tab w:val="clear" w:pos="8306"/>
        </w:tabs>
        <w:spacing w:after="0" w:line="240" w:lineRule="auto"/>
        <w:rPr>
          <w:rFonts w:cs="Times New Roman"/>
          <w:b/>
        </w:rPr>
      </w:pPr>
    </w:p>
    <w:tbl>
      <w:tblPr>
        <w:tblStyle w:val="6"/>
        <w:tblW w:w="4678" w:type="dxa"/>
        <w:tblInd w:w="5670" w:type="dxa"/>
        <w:tblLayout w:type="autofit"/>
        <w:tblCellMar>
          <w:top w:w="0" w:type="dxa"/>
          <w:left w:w="108" w:type="dxa"/>
          <w:bottom w:w="0" w:type="dxa"/>
          <w:right w:w="108" w:type="dxa"/>
        </w:tblCellMar>
      </w:tblPr>
      <w:tblGrid>
        <w:gridCol w:w="4678"/>
      </w:tblGrid>
      <w:tr>
        <w:tblPrEx>
          <w:tblCellMar>
            <w:top w:w="0" w:type="dxa"/>
            <w:left w:w="108" w:type="dxa"/>
            <w:bottom w:w="0" w:type="dxa"/>
            <w:right w:w="108" w:type="dxa"/>
          </w:tblCellMar>
        </w:tblPrEx>
        <w:trPr>
          <w:trHeight w:val="90" w:hRule="atLeast"/>
        </w:trPr>
        <w:tc>
          <w:tcPr>
            <w:tcW w:w="4678" w:type="dxa"/>
            <w:shd w:val="clear" w:color="auto" w:fill="auto"/>
          </w:tcPr>
          <w:p>
            <w:pPr>
              <w:snapToGrid w:val="0"/>
              <w:spacing w:after="0" w:line="240" w:lineRule="auto"/>
              <w:rPr>
                <w:b/>
              </w:rPr>
            </w:pPr>
            <w:r>
              <w:rPr>
                <w:b/>
              </w:rPr>
              <w:t>ЗАТВЕРДЖЕНО</w:t>
            </w:r>
          </w:p>
          <w:p>
            <w:pPr>
              <w:snapToGrid w:val="0"/>
              <w:spacing w:after="0" w:line="240" w:lineRule="auto"/>
            </w:pPr>
            <w:r>
              <w:t>УПОВНОВАЖЕНА ОСОБА</w:t>
            </w:r>
          </w:p>
          <w:p>
            <w:pPr>
              <w:snapToGrid w:val="0"/>
              <w:spacing w:after="0" w:line="240" w:lineRule="auto"/>
              <w:rPr>
                <w:color w:val="auto"/>
              </w:rPr>
            </w:pPr>
            <w:r>
              <w:rPr>
                <w:b/>
              </w:rPr>
              <w:t xml:space="preserve">Протокол від </w:t>
            </w:r>
            <w:r>
              <w:rPr>
                <w:rFonts w:hint="default"/>
                <w:b/>
                <w:highlight w:val="none"/>
                <w:lang w:val="uk-UA"/>
              </w:rPr>
              <w:t xml:space="preserve"> </w:t>
            </w:r>
            <w:r>
              <w:rPr>
                <w:rFonts w:hint="default"/>
                <w:b/>
                <w:color w:val="auto"/>
                <w:highlight w:val="none"/>
                <w:lang w:val="uk"/>
              </w:rPr>
              <w:t xml:space="preserve"> 15  лютого</w:t>
            </w:r>
            <w:r>
              <w:rPr>
                <w:b/>
                <w:color w:val="auto"/>
              </w:rPr>
              <w:t xml:space="preserve"> 202</w:t>
            </w:r>
            <w:r>
              <w:rPr>
                <w:rFonts w:hint="default"/>
                <w:b/>
                <w:color w:val="auto"/>
                <w:lang w:val="uk"/>
              </w:rPr>
              <w:t>4</w:t>
            </w:r>
            <w:r>
              <w:rPr>
                <w:b/>
                <w:color w:val="auto"/>
              </w:rPr>
              <w:t xml:space="preserve">р. </w:t>
            </w:r>
          </w:p>
          <w:p>
            <w:pPr>
              <w:snapToGrid w:val="0"/>
              <w:spacing w:after="0" w:line="240" w:lineRule="auto"/>
              <w:rPr>
                <w:color w:val="auto"/>
              </w:rPr>
            </w:pPr>
          </w:p>
          <w:p>
            <w:pPr>
              <w:snapToGrid w:val="0"/>
              <w:spacing w:after="0" w:line="240" w:lineRule="auto"/>
              <w:rPr>
                <w:rFonts w:hint="default"/>
                <w:lang w:val="uk-UA"/>
              </w:rPr>
            </w:pPr>
            <w:r>
              <w:t>___________________</w:t>
            </w:r>
            <w:r>
              <w:rPr>
                <w:lang w:val="uk-UA"/>
              </w:rPr>
              <w:t>Сергій</w:t>
            </w:r>
            <w:r>
              <w:rPr>
                <w:rFonts w:hint="default"/>
                <w:lang w:val="uk-UA"/>
              </w:rPr>
              <w:t xml:space="preserve"> ЧЕРНОВ</w:t>
            </w: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p>
            <w:pPr>
              <w:snapToGrid w:val="0"/>
              <w:spacing w:after="0" w:line="240" w:lineRule="auto"/>
            </w:pPr>
          </w:p>
        </w:tc>
      </w:tr>
    </w:tbl>
    <w:p>
      <w:pPr>
        <w:jc w:val="right"/>
      </w:pPr>
    </w:p>
    <w:p>
      <w:pPr>
        <w:spacing w:after="0" w:line="240" w:lineRule="auto"/>
        <w:jc w:val="center"/>
        <w:rPr>
          <w:b/>
          <w:sz w:val="28"/>
          <w:szCs w:val="28"/>
        </w:rPr>
      </w:pPr>
      <w:r>
        <w:rPr>
          <w:b/>
          <w:sz w:val="28"/>
          <w:szCs w:val="28"/>
        </w:rPr>
        <w:t>ТЕНДЕРНА ДОКУМЕНТАЦІЯ</w:t>
      </w:r>
    </w:p>
    <w:p>
      <w:pPr>
        <w:spacing w:after="0" w:line="240" w:lineRule="auto"/>
        <w:jc w:val="center"/>
        <w:rPr>
          <w:rFonts w:hint="default"/>
          <w:b/>
          <w:sz w:val="28"/>
          <w:szCs w:val="28"/>
          <w:lang w:val="uk-UA"/>
        </w:rPr>
      </w:pPr>
      <w:r>
        <w:rPr>
          <w:b w:val="0"/>
          <w:bCs/>
          <w:sz w:val="28"/>
          <w:szCs w:val="28"/>
          <w:lang w:val="uk-UA"/>
        </w:rPr>
        <w:t>по</w:t>
      </w:r>
      <w:r>
        <w:rPr>
          <w:rFonts w:hint="default"/>
          <w:b w:val="0"/>
          <w:bCs/>
          <w:sz w:val="28"/>
          <w:szCs w:val="28"/>
          <w:lang w:val="uk-UA"/>
        </w:rPr>
        <w:t xml:space="preserve"> процедурі</w:t>
      </w:r>
      <w:r>
        <w:rPr>
          <w:rFonts w:hint="default"/>
          <w:b/>
          <w:sz w:val="28"/>
          <w:szCs w:val="28"/>
          <w:lang w:val="uk-UA"/>
        </w:rPr>
        <w:t xml:space="preserve"> ВІДКРИТІ ТОРГИ (з особливостями)</w:t>
      </w:r>
    </w:p>
    <w:p>
      <w:pPr>
        <w:pStyle w:val="168"/>
        <w:spacing w:before="0" w:after="0" w:line="240" w:lineRule="auto"/>
        <w:jc w:val="center"/>
      </w:pPr>
      <w:r>
        <w:rPr>
          <w:sz w:val="28"/>
          <w:szCs w:val="28"/>
        </w:rPr>
        <w:t>на закупівлю</w:t>
      </w:r>
      <w:r>
        <w:rPr>
          <w:rFonts w:hint="default"/>
          <w:sz w:val="28"/>
          <w:szCs w:val="28"/>
          <w:lang w:val="uk-UA"/>
        </w:rPr>
        <w:t xml:space="preserve"> послуги</w:t>
      </w:r>
      <w:r>
        <w:rPr>
          <w:sz w:val="28"/>
          <w:szCs w:val="28"/>
        </w:rPr>
        <w:t xml:space="preserve">: </w:t>
      </w:r>
    </w:p>
    <w:p>
      <w:pPr>
        <w:pStyle w:val="12"/>
        <w:spacing w:after="0" w:line="240" w:lineRule="auto"/>
        <w:jc w:val="center"/>
      </w:pPr>
      <w:bookmarkStart w:id="0" w:name="__DdeLink__523_2123911268"/>
      <w:bookmarkEnd w:id="0"/>
    </w:p>
    <w:p>
      <w:pPr>
        <w:pStyle w:val="168"/>
        <w:spacing w:before="0" w:after="0" w:line="240" w:lineRule="auto"/>
        <w:jc w:val="center"/>
        <w:rPr>
          <w:color w:val="000000"/>
          <w:sz w:val="28"/>
          <w:szCs w:val="28"/>
        </w:rPr>
      </w:pPr>
      <w:r>
        <w:rPr>
          <w:color w:val="000000"/>
          <w:sz w:val="28"/>
          <w:szCs w:val="28"/>
        </w:rPr>
        <w:t xml:space="preserve"> Кур'єрські послуги</w:t>
      </w:r>
    </w:p>
    <w:p>
      <w:pPr>
        <w:pStyle w:val="168"/>
        <w:spacing w:before="0" w:after="0" w:line="240" w:lineRule="auto"/>
        <w:jc w:val="center"/>
        <w:rPr>
          <w:rFonts w:hint="default"/>
          <w:color w:val="000000"/>
          <w:sz w:val="28"/>
          <w:szCs w:val="28"/>
          <w:lang w:val="ru"/>
        </w:rPr>
      </w:pPr>
      <w:r>
        <w:rPr>
          <w:rFonts w:hint="default"/>
          <w:color w:val="000000"/>
          <w:sz w:val="28"/>
          <w:szCs w:val="28"/>
          <w:lang w:val="ru"/>
        </w:rPr>
        <w:t>(</w:t>
      </w:r>
      <w:r>
        <w:rPr>
          <w:color w:val="000000"/>
          <w:sz w:val="28"/>
          <w:szCs w:val="28"/>
          <w:lang w:val="ru"/>
        </w:rPr>
        <w:t>П</w:t>
      </w:r>
      <w:r>
        <w:rPr>
          <w:color w:val="000000"/>
          <w:sz w:val="28"/>
          <w:szCs w:val="28"/>
        </w:rPr>
        <w:t>ослуги з доставки рахунків на  адреси фізичних осіб</w:t>
      </w:r>
      <w:r>
        <w:rPr>
          <w:rFonts w:hint="default"/>
          <w:color w:val="000000"/>
          <w:sz w:val="28"/>
          <w:szCs w:val="28"/>
          <w:lang w:val="ru"/>
        </w:rPr>
        <w:t>)</w:t>
      </w:r>
    </w:p>
    <w:p>
      <w:pPr>
        <w:pStyle w:val="168"/>
        <w:spacing w:before="0" w:after="0" w:line="240" w:lineRule="auto"/>
        <w:jc w:val="center"/>
        <w:rPr>
          <w:sz w:val="28"/>
          <w:szCs w:val="28"/>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pStyle w:val="12"/>
        <w:spacing w:after="0" w:line="240" w:lineRule="auto"/>
        <w:jc w:val="center"/>
        <w:rPr>
          <w:color w:val="auto"/>
          <w:sz w:val="28"/>
          <w:szCs w:val="28"/>
          <w:lang w:val="ru-RU"/>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center"/>
        <w:rPr>
          <w:sz w:val="20"/>
          <w:szCs w:val="20"/>
        </w:rPr>
      </w:pPr>
      <w:r>
        <w:rPr>
          <w:sz w:val="20"/>
          <w:szCs w:val="20"/>
        </w:rPr>
        <w:t>Запоріжжя</w:t>
      </w:r>
    </w:p>
    <w:p>
      <w:pPr>
        <w:jc w:val="center"/>
        <w:rPr>
          <w:sz w:val="20"/>
          <w:szCs w:val="20"/>
        </w:rPr>
      </w:pPr>
      <w:r>
        <w:rPr>
          <w:sz w:val="20"/>
          <w:szCs w:val="20"/>
        </w:rPr>
        <w:t>202</w:t>
      </w:r>
      <w:r>
        <w:rPr>
          <w:rFonts w:hint="default"/>
          <w:sz w:val="20"/>
          <w:szCs w:val="20"/>
          <w:lang w:val="uk"/>
        </w:rPr>
        <w:t>4</w:t>
      </w:r>
    </w:p>
    <w:p>
      <w:pPr>
        <w:ind w:left="181" w:right="142"/>
        <w:jc w:val="center"/>
        <w:rPr>
          <w:b/>
        </w:rPr>
      </w:pPr>
      <w:r>
        <w:rPr>
          <w:b/>
        </w:rPr>
        <w:t>ЗМІСТ</w:t>
      </w:r>
    </w:p>
    <w:p>
      <w:pPr>
        <w:rPr>
          <w:b/>
          <w:color w:val="auto"/>
          <w:sz w:val="18"/>
          <w:szCs w:val="18"/>
        </w:rPr>
      </w:pPr>
    </w:p>
    <w:p>
      <w:pPr>
        <w:spacing w:after="0" w:line="240" w:lineRule="auto"/>
        <w:jc w:val="both"/>
        <w:rPr>
          <w:b/>
          <w:color w:val="auto"/>
          <w:sz w:val="20"/>
          <w:szCs w:val="20"/>
        </w:rPr>
      </w:pPr>
      <w:r>
        <w:rPr>
          <w:b/>
          <w:color w:val="auto"/>
          <w:sz w:val="20"/>
          <w:szCs w:val="20"/>
        </w:rPr>
        <w:t>Розділ І. Загальні положення</w:t>
      </w:r>
    </w:p>
    <w:p>
      <w:pPr>
        <w:spacing w:after="0" w:line="240" w:lineRule="auto"/>
        <w:ind w:left="567"/>
        <w:jc w:val="both"/>
        <w:rPr>
          <w:color w:val="auto"/>
          <w:sz w:val="20"/>
          <w:szCs w:val="20"/>
        </w:rPr>
      </w:pPr>
      <w:r>
        <w:rPr>
          <w:color w:val="auto"/>
          <w:sz w:val="20"/>
          <w:szCs w:val="20"/>
        </w:rPr>
        <w:t>1. Терміни, які вживаються в тендерній документації</w:t>
      </w:r>
    </w:p>
    <w:p>
      <w:pPr>
        <w:spacing w:after="0" w:line="240" w:lineRule="auto"/>
        <w:ind w:left="567"/>
        <w:jc w:val="both"/>
        <w:rPr>
          <w:color w:val="auto"/>
          <w:sz w:val="20"/>
          <w:szCs w:val="20"/>
        </w:rPr>
      </w:pPr>
      <w:r>
        <w:rPr>
          <w:color w:val="auto"/>
          <w:sz w:val="20"/>
          <w:szCs w:val="20"/>
        </w:rPr>
        <w:t>2. Інформація про замовника торгів</w:t>
      </w:r>
    </w:p>
    <w:p>
      <w:pPr>
        <w:spacing w:after="0" w:line="240" w:lineRule="auto"/>
        <w:ind w:left="567"/>
        <w:jc w:val="both"/>
        <w:rPr>
          <w:color w:val="auto"/>
          <w:sz w:val="20"/>
          <w:szCs w:val="20"/>
        </w:rPr>
      </w:pPr>
      <w:r>
        <w:rPr>
          <w:color w:val="auto"/>
          <w:sz w:val="20"/>
          <w:szCs w:val="20"/>
        </w:rPr>
        <w:t>2.1. повне найменування</w:t>
      </w:r>
    </w:p>
    <w:p>
      <w:pPr>
        <w:spacing w:after="0" w:line="240" w:lineRule="auto"/>
        <w:ind w:left="567"/>
        <w:jc w:val="both"/>
        <w:rPr>
          <w:color w:val="auto"/>
          <w:sz w:val="20"/>
          <w:szCs w:val="20"/>
        </w:rPr>
      </w:pPr>
      <w:r>
        <w:rPr>
          <w:color w:val="auto"/>
          <w:sz w:val="20"/>
          <w:szCs w:val="20"/>
        </w:rPr>
        <w:t>2.2. місцезнаходження</w:t>
      </w:r>
    </w:p>
    <w:p>
      <w:pPr>
        <w:spacing w:after="0" w:line="240" w:lineRule="auto"/>
        <w:ind w:left="567"/>
        <w:jc w:val="both"/>
        <w:rPr>
          <w:color w:val="auto"/>
          <w:sz w:val="20"/>
          <w:szCs w:val="20"/>
        </w:rPr>
      </w:pPr>
      <w:r>
        <w:rPr>
          <w:color w:val="auto"/>
          <w:sz w:val="20"/>
          <w:szCs w:val="20"/>
        </w:rPr>
        <w:t>2.3. посадова особа замовника, уповноважена здійснювати зв'язок з учасниками</w:t>
      </w:r>
    </w:p>
    <w:p>
      <w:pPr>
        <w:spacing w:after="0" w:line="240" w:lineRule="auto"/>
        <w:ind w:left="567"/>
        <w:jc w:val="both"/>
        <w:rPr>
          <w:color w:val="auto"/>
          <w:sz w:val="20"/>
          <w:szCs w:val="20"/>
        </w:rPr>
      </w:pPr>
      <w:r>
        <w:rPr>
          <w:color w:val="auto"/>
          <w:sz w:val="20"/>
          <w:szCs w:val="20"/>
        </w:rPr>
        <w:t>3. Процедура закупівлі</w:t>
      </w:r>
    </w:p>
    <w:p>
      <w:pPr>
        <w:spacing w:after="0" w:line="240" w:lineRule="auto"/>
        <w:ind w:left="567"/>
        <w:jc w:val="both"/>
        <w:rPr>
          <w:color w:val="auto"/>
          <w:sz w:val="20"/>
          <w:szCs w:val="20"/>
        </w:rPr>
      </w:pPr>
      <w:r>
        <w:rPr>
          <w:color w:val="auto"/>
          <w:sz w:val="20"/>
          <w:szCs w:val="20"/>
        </w:rPr>
        <w:t>4. Інформація про предмет закупівлі</w:t>
      </w:r>
    </w:p>
    <w:p>
      <w:pPr>
        <w:spacing w:after="0" w:line="240" w:lineRule="auto"/>
        <w:ind w:left="567"/>
        <w:jc w:val="both"/>
        <w:rPr>
          <w:color w:val="auto"/>
          <w:sz w:val="20"/>
          <w:szCs w:val="20"/>
        </w:rPr>
      </w:pPr>
      <w:r>
        <w:rPr>
          <w:color w:val="auto"/>
          <w:sz w:val="20"/>
          <w:szCs w:val="20"/>
        </w:rPr>
        <w:t>4.1.назва предмета закупівлі</w:t>
      </w:r>
    </w:p>
    <w:p>
      <w:pPr>
        <w:spacing w:after="0" w:line="240" w:lineRule="auto"/>
        <w:ind w:left="567"/>
        <w:jc w:val="both"/>
        <w:rPr>
          <w:color w:val="auto"/>
          <w:sz w:val="20"/>
          <w:szCs w:val="20"/>
        </w:rPr>
      </w:pPr>
      <w:r>
        <w:rPr>
          <w:color w:val="auto"/>
          <w:sz w:val="20"/>
          <w:szCs w:val="20"/>
        </w:rPr>
        <w:t>4.2. опис окремої частини (частин) предмета закупівлі (лота), щодо якої можуть бути подані тендерні пропозиції</w:t>
      </w:r>
    </w:p>
    <w:p>
      <w:pPr>
        <w:spacing w:after="0" w:line="240" w:lineRule="auto"/>
        <w:ind w:left="567"/>
        <w:jc w:val="both"/>
        <w:rPr>
          <w:rFonts w:hint="default"/>
          <w:color w:val="auto"/>
          <w:sz w:val="20"/>
          <w:szCs w:val="20"/>
          <w:lang w:val="uk-UA"/>
        </w:rPr>
      </w:pPr>
      <w:r>
        <w:rPr>
          <w:color w:val="auto"/>
          <w:sz w:val="20"/>
          <w:szCs w:val="20"/>
        </w:rPr>
        <w:t>4.3. місце</w:t>
      </w:r>
      <w:r>
        <w:rPr>
          <w:rFonts w:hint="default"/>
          <w:color w:val="auto"/>
          <w:sz w:val="20"/>
          <w:szCs w:val="20"/>
          <w:lang w:val="uk-UA"/>
        </w:rPr>
        <w:t>, де повинні бути виконані роботи чи надані послуги, їх обсяги</w:t>
      </w:r>
    </w:p>
    <w:p>
      <w:pPr>
        <w:spacing w:after="0" w:line="240" w:lineRule="auto"/>
        <w:ind w:left="567"/>
        <w:jc w:val="both"/>
        <w:rPr>
          <w:rFonts w:hint="default"/>
          <w:color w:val="auto"/>
          <w:sz w:val="20"/>
          <w:szCs w:val="20"/>
          <w:lang w:val="uk-UA"/>
        </w:rPr>
      </w:pPr>
      <w:r>
        <w:rPr>
          <w:color w:val="auto"/>
          <w:sz w:val="20"/>
          <w:szCs w:val="20"/>
        </w:rPr>
        <w:t>4.4. строк</w:t>
      </w:r>
      <w:r>
        <w:rPr>
          <w:color w:val="auto"/>
          <w:sz w:val="20"/>
          <w:szCs w:val="20"/>
          <w:lang w:val="uk-UA"/>
        </w:rPr>
        <w:t>и</w:t>
      </w:r>
      <w:r>
        <w:rPr>
          <w:color w:val="auto"/>
          <w:sz w:val="20"/>
          <w:szCs w:val="20"/>
        </w:rPr>
        <w:t xml:space="preserve"> пос</w:t>
      </w:r>
      <w:r>
        <w:rPr>
          <w:color w:val="auto"/>
          <w:sz w:val="20"/>
          <w:szCs w:val="20"/>
          <w:lang w:val="uk"/>
        </w:rPr>
        <w:t>тачання</w:t>
      </w:r>
      <w:r>
        <w:rPr>
          <w:color w:val="auto"/>
          <w:sz w:val="20"/>
          <w:szCs w:val="20"/>
        </w:rPr>
        <w:t xml:space="preserve"> товарів</w:t>
      </w:r>
      <w:r>
        <w:rPr>
          <w:rFonts w:hint="default"/>
          <w:color w:val="auto"/>
          <w:sz w:val="20"/>
          <w:szCs w:val="20"/>
          <w:lang w:val="uk-UA"/>
        </w:rPr>
        <w:t>,</w:t>
      </w:r>
      <w:r>
        <w:rPr>
          <w:color w:val="auto"/>
          <w:sz w:val="20"/>
          <w:szCs w:val="20"/>
        </w:rPr>
        <w:t xml:space="preserve"> виконання робіт</w:t>
      </w:r>
      <w:r>
        <w:rPr>
          <w:rFonts w:hint="default"/>
          <w:color w:val="auto"/>
          <w:sz w:val="20"/>
          <w:szCs w:val="20"/>
          <w:lang w:val="uk-UA"/>
        </w:rPr>
        <w:t xml:space="preserve">, </w:t>
      </w:r>
      <w:r>
        <w:rPr>
          <w:color w:val="auto"/>
          <w:sz w:val="20"/>
          <w:szCs w:val="20"/>
        </w:rPr>
        <w:t>надання послуг</w:t>
      </w:r>
    </w:p>
    <w:p>
      <w:pPr>
        <w:spacing w:after="0" w:line="240" w:lineRule="auto"/>
        <w:ind w:left="567"/>
        <w:jc w:val="both"/>
        <w:rPr>
          <w:color w:val="auto"/>
          <w:sz w:val="20"/>
          <w:szCs w:val="20"/>
        </w:rPr>
      </w:pPr>
      <w:r>
        <w:rPr>
          <w:color w:val="auto"/>
          <w:sz w:val="20"/>
          <w:szCs w:val="20"/>
        </w:rPr>
        <w:t>5. Недискримінація учасників</w:t>
      </w:r>
    </w:p>
    <w:p>
      <w:pPr>
        <w:spacing w:after="0" w:line="240" w:lineRule="auto"/>
        <w:ind w:left="567"/>
        <w:jc w:val="both"/>
        <w:rPr>
          <w:color w:val="auto"/>
          <w:sz w:val="20"/>
          <w:szCs w:val="20"/>
        </w:rPr>
      </w:pPr>
      <w:r>
        <w:rPr>
          <w:color w:val="auto"/>
          <w:sz w:val="20"/>
          <w:szCs w:val="20"/>
        </w:rPr>
        <w:t>6. Інформація про валюту, у якій повинно бути розраховано і зазначено ціну тендерної пропозиції</w:t>
      </w:r>
    </w:p>
    <w:p>
      <w:pPr>
        <w:spacing w:after="0" w:line="240" w:lineRule="auto"/>
        <w:ind w:left="567"/>
        <w:jc w:val="both"/>
        <w:rPr>
          <w:color w:val="auto"/>
          <w:sz w:val="20"/>
          <w:szCs w:val="20"/>
        </w:rPr>
      </w:pPr>
      <w:r>
        <w:rPr>
          <w:color w:val="auto"/>
          <w:sz w:val="20"/>
          <w:szCs w:val="20"/>
        </w:rPr>
        <w:t>7. Інформація про мову (мови), якою (якими) повинно бути складено тендерні пропозиції</w:t>
      </w:r>
    </w:p>
    <w:p>
      <w:pPr>
        <w:spacing w:after="0" w:line="240" w:lineRule="auto"/>
        <w:jc w:val="both"/>
        <w:rPr>
          <w:b/>
          <w:color w:val="auto"/>
          <w:sz w:val="20"/>
          <w:szCs w:val="20"/>
        </w:rPr>
      </w:pPr>
      <w:r>
        <w:rPr>
          <w:b/>
          <w:color w:val="auto"/>
          <w:sz w:val="20"/>
          <w:szCs w:val="20"/>
        </w:rPr>
        <w:t>Розділ ІІ. Порядок унесення змін та надання роз’яснень до тендерної документації</w:t>
      </w:r>
    </w:p>
    <w:p>
      <w:pPr>
        <w:spacing w:after="0" w:line="240" w:lineRule="auto"/>
        <w:ind w:left="567"/>
        <w:jc w:val="both"/>
        <w:rPr>
          <w:color w:val="auto"/>
          <w:sz w:val="20"/>
          <w:szCs w:val="20"/>
        </w:rPr>
      </w:pPr>
      <w:r>
        <w:rPr>
          <w:color w:val="auto"/>
          <w:sz w:val="20"/>
          <w:szCs w:val="20"/>
        </w:rPr>
        <w:t>1. Процедура надання роз’яснень щодо тендерної документації</w:t>
      </w:r>
    </w:p>
    <w:p>
      <w:pPr>
        <w:spacing w:after="0" w:line="240" w:lineRule="auto"/>
        <w:ind w:left="567"/>
        <w:jc w:val="both"/>
        <w:rPr>
          <w:color w:val="auto"/>
          <w:sz w:val="20"/>
          <w:szCs w:val="20"/>
        </w:rPr>
      </w:pPr>
      <w:r>
        <w:rPr>
          <w:color w:val="auto"/>
          <w:sz w:val="20"/>
          <w:szCs w:val="20"/>
        </w:rPr>
        <w:t>2. Унесення змін до тендерної документації</w:t>
      </w:r>
    </w:p>
    <w:p>
      <w:pPr>
        <w:tabs>
          <w:tab w:val="left" w:pos="360"/>
        </w:tabs>
        <w:spacing w:after="0" w:line="240" w:lineRule="auto"/>
        <w:jc w:val="both"/>
        <w:rPr>
          <w:b/>
          <w:color w:val="auto"/>
          <w:sz w:val="20"/>
          <w:szCs w:val="20"/>
        </w:rPr>
      </w:pPr>
      <w:r>
        <w:rPr>
          <w:b/>
          <w:color w:val="auto"/>
          <w:sz w:val="20"/>
          <w:szCs w:val="20"/>
        </w:rPr>
        <w:t>Розділ ІІІ. Інструкція з підготовки тендерної пропозиції</w:t>
      </w:r>
    </w:p>
    <w:p>
      <w:pPr>
        <w:spacing w:after="0" w:line="240" w:lineRule="auto"/>
        <w:ind w:left="567"/>
        <w:jc w:val="both"/>
        <w:rPr>
          <w:color w:val="auto"/>
          <w:sz w:val="20"/>
          <w:szCs w:val="20"/>
        </w:rPr>
      </w:pPr>
      <w:r>
        <w:rPr>
          <w:color w:val="auto"/>
          <w:sz w:val="20"/>
          <w:szCs w:val="20"/>
        </w:rPr>
        <w:t>1. Зміст і спосіб подання тендерної пропозиції</w:t>
      </w:r>
    </w:p>
    <w:p>
      <w:pPr>
        <w:spacing w:after="0" w:line="240" w:lineRule="auto"/>
        <w:ind w:left="567"/>
        <w:jc w:val="both"/>
        <w:rPr>
          <w:color w:val="auto"/>
          <w:sz w:val="20"/>
          <w:szCs w:val="20"/>
        </w:rPr>
      </w:pPr>
      <w:r>
        <w:rPr>
          <w:color w:val="auto"/>
          <w:sz w:val="20"/>
          <w:szCs w:val="20"/>
        </w:rPr>
        <w:t>2. Забезпечення тендерної пропозиції</w:t>
      </w:r>
    </w:p>
    <w:p>
      <w:pPr>
        <w:spacing w:after="0" w:line="240" w:lineRule="auto"/>
        <w:ind w:left="567"/>
        <w:jc w:val="both"/>
        <w:rPr>
          <w:color w:val="auto"/>
          <w:sz w:val="20"/>
          <w:szCs w:val="20"/>
        </w:rPr>
      </w:pPr>
      <w:r>
        <w:rPr>
          <w:color w:val="auto"/>
          <w:sz w:val="20"/>
          <w:szCs w:val="20"/>
        </w:rPr>
        <w:t>3. Умови повернення чи неповернення забезпечення тендерної пропозиції</w:t>
      </w:r>
    </w:p>
    <w:p>
      <w:pPr>
        <w:spacing w:after="0" w:line="240" w:lineRule="auto"/>
        <w:ind w:left="567"/>
        <w:jc w:val="both"/>
        <w:rPr>
          <w:color w:val="auto"/>
          <w:sz w:val="20"/>
          <w:szCs w:val="20"/>
        </w:rPr>
      </w:pPr>
      <w:r>
        <w:rPr>
          <w:color w:val="auto"/>
          <w:sz w:val="20"/>
          <w:szCs w:val="20"/>
        </w:rPr>
        <w:t>4. Строк, протягом якого тендерні пропозиції є дійсними</w:t>
      </w:r>
    </w:p>
    <w:p>
      <w:pPr>
        <w:spacing w:after="0" w:line="240" w:lineRule="auto"/>
        <w:ind w:left="567"/>
        <w:jc w:val="both"/>
        <w:rPr>
          <w:rFonts w:hint="default"/>
          <w:color w:val="auto"/>
          <w:sz w:val="20"/>
          <w:szCs w:val="20"/>
          <w:lang w:val="uk-UA"/>
        </w:rPr>
      </w:pPr>
      <w:r>
        <w:rPr>
          <w:color w:val="auto"/>
          <w:sz w:val="20"/>
          <w:szCs w:val="20"/>
        </w:rPr>
        <w:t>5. Кваліфікаційні критерії учасників</w:t>
      </w:r>
      <w:r>
        <w:rPr>
          <w:rFonts w:hint="default"/>
          <w:color w:val="auto"/>
          <w:sz w:val="20"/>
          <w:szCs w:val="20"/>
          <w:lang w:val="uk-UA"/>
        </w:rPr>
        <w:t xml:space="preserve"> процедури закупівлі Підстави для відмови в участі у процедурі закупівлі, встановлені у пункті 47 Особливостей</w:t>
      </w:r>
    </w:p>
    <w:p>
      <w:pPr>
        <w:spacing w:after="0" w:line="240" w:lineRule="auto"/>
        <w:ind w:left="567"/>
        <w:jc w:val="both"/>
        <w:rPr>
          <w:color w:val="auto"/>
          <w:sz w:val="20"/>
          <w:szCs w:val="20"/>
        </w:rPr>
      </w:pPr>
      <w:r>
        <w:rPr>
          <w:color w:val="auto"/>
          <w:sz w:val="20"/>
          <w:szCs w:val="20"/>
        </w:rPr>
        <w:t>6. Інформація про технічні, якісні та кількісні характеристики предмета закупівлі</w:t>
      </w:r>
    </w:p>
    <w:p>
      <w:pPr>
        <w:spacing w:after="0" w:line="240" w:lineRule="auto"/>
        <w:ind w:left="567"/>
        <w:jc w:val="both"/>
        <w:rPr>
          <w:color w:val="auto"/>
          <w:sz w:val="20"/>
          <w:szCs w:val="20"/>
        </w:rPr>
      </w:pPr>
      <w:r>
        <w:rPr>
          <w:color w:val="auto"/>
          <w:sz w:val="20"/>
          <w:szCs w:val="20"/>
        </w:rPr>
        <w:t>7. Інформація про субпідрядника (у випадку закупівлі робіт</w:t>
      </w:r>
      <w:r>
        <w:rPr>
          <w:rFonts w:hint="default"/>
          <w:color w:val="auto"/>
          <w:sz w:val="20"/>
          <w:szCs w:val="20"/>
          <w:lang w:val="uk-UA"/>
        </w:rPr>
        <w:t xml:space="preserve"> чи послуг</w:t>
      </w:r>
      <w:r>
        <w:rPr>
          <w:color w:val="auto"/>
          <w:sz w:val="20"/>
          <w:szCs w:val="20"/>
        </w:rPr>
        <w:t>)</w:t>
      </w:r>
    </w:p>
    <w:p>
      <w:pPr>
        <w:spacing w:after="0" w:line="240" w:lineRule="auto"/>
        <w:ind w:left="567"/>
        <w:jc w:val="both"/>
        <w:rPr>
          <w:color w:val="auto"/>
          <w:sz w:val="20"/>
          <w:szCs w:val="20"/>
        </w:rPr>
      </w:pPr>
      <w:r>
        <w:rPr>
          <w:color w:val="auto"/>
          <w:sz w:val="20"/>
          <w:szCs w:val="20"/>
        </w:rPr>
        <w:t>8. Унесення змін або відкликання тендерної пропозиції учасником</w:t>
      </w:r>
    </w:p>
    <w:p>
      <w:pPr>
        <w:spacing w:after="0" w:line="240" w:lineRule="auto"/>
        <w:jc w:val="both"/>
        <w:rPr>
          <w:b/>
          <w:color w:val="auto"/>
          <w:sz w:val="20"/>
          <w:szCs w:val="20"/>
        </w:rPr>
      </w:pPr>
      <w:r>
        <w:rPr>
          <w:b/>
          <w:color w:val="auto"/>
          <w:sz w:val="20"/>
          <w:szCs w:val="20"/>
        </w:rPr>
        <w:t xml:space="preserve">Розділ IV. Подання та розкриття тендерної пропозиції </w:t>
      </w:r>
    </w:p>
    <w:p>
      <w:pPr>
        <w:spacing w:after="0" w:line="240" w:lineRule="auto"/>
        <w:ind w:left="567"/>
        <w:jc w:val="both"/>
        <w:rPr>
          <w:bCs/>
          <w:color w:val="auto"/>
          <w:sz w:val="20"/>
          <w:szCs w:val="20"/>
        </w:rPr>
      </w:pPr>
      <w:r>
        <w:rPr>
          <w:bCs/>
          <w:color w:val="auto"/>
          <w:sz w:val="20"/>
          <w:szCs w:val="20"/>
        </w:rPr>
        <w:t>1. Кінцевий строк подання тендерної пропозиції</w:t>
      </w:r>
    </w:p>
    <w:p>
      <w:pPr>
        <w:spacing w:after="0" w:line="240" w:lineRule="auto"/>
        <w:ind w:left="567"/>
        <w:jc w:val="both"/>
        <w:rPr>
          <w:bCs/>
          <w:color w:val="auto"/>
          <w:sz w:val="20"/>
          <w:szCs w:val="20"/>
        </w:rPr>
      </w:pPr>
      <w:r>
        <w:rPr>
          <w:bCs/>
          <w:color w:val="auto"/>
          <w:sz w:val="20"/>
          <w:szCs w:val="20"/>
        </w:rPr>
        <w:t>2. Дата та час розкриття тендерної пропозиції</w:t>
      </w:r>
    </w:p>
    <w:p>
      <w:pPr>
        <w:spacing w:after="0" w:line="240" w:lineRule="auto"/>
        <w:jc w:val="both"/>
        <w:rPr>
          <w:b/>
          <w:color w:val="auto"/>
          <w:sz w:val="20"/>
          <w:szCs w:val="20"/>
        </w:rPr>
      </w:pPr>
      <w:r>
        <w:rPr>
          <w:b/>
          <w:color w:val="auto"/>
          <w:sz w:val="20"/>
          <w:szCs w:val="20"/>
        </w:rPr>
        <w:t>Розділ V. Оцінка тендерної пропозиції</w:t>
      </w:r>
    </w:p>
    <w:p>
      <w:pPr>
        <w:spacing w:after="0" w:line="240" w:lineRule="auto"/>
        <w:ind w:left="567"/>
        <w:jc w:val="both"/>
        <w:rPr>
          <w:bCs/>
          <w:color w:val="auto"/>
          <w:sz w:val="20"/>
          <w:szCs w:val="20"/>
        </w:rPr>
      </w:pPr>
      <w:r>
        <w:rPr>
          <w:bCs/>
          <w:color w:val="auto"/>
          <w:sz w:val="20"/>
          <w:szCs w:val="20"/>
        </w:rPr>
        <w:t>1. Перелік критеріїв та методика оцінки тендерної пропозиції із зазначенням питомої ваги критерію</w:t>
      </w:r>
    </w:p>
    <w:p>
      <w:pPr>
        <w:spacing w:after="0" w:line="240" w:lineRule="auto"/>
        <w:ind w:left="567"/>
        <w:jc w:val="both"/>
        <w:rPr>
          <w:bCs/>
          <w:color w:val="auto"/>
          <w:sz w:val="20"/>
          <w:szCs w:val="20"/>
        </w:rPr>
      </w:pPr>
      <w:r>
        <w:rPr>
          <w:bCs/>
          <w:color w:val="auto"/>
          <w:sz w:val="20"/>
          <w:szCs w:val="20"/>
        </w:rPr>
        <w:t>2. Інша інформація</w:t>
      </w:r>
    </w:p>
    <w:p>
      <w:pPr>
        <w:spacing w:after="0" w:line="240" w:lineRule="auto"/>
        <w:ind w:left="567"/>
        <w:jc w:val="both"/>
        <w:rPr>
          <w:bCs/>
          <w:color w:val="auto"/>
          <w:sz w:val="20"/>
          <w:szCs w:val="20"/>
        </w:rPr>
      </w:pPr>
      <w:r>
        <w:rPr>
          <w:bCs/>
          <w:color w:val="auto"/>
          <w:sz w:val="20"/>
          <w:szCs w:val="20"/>
        </w:rPr>
        <w:t>3. Відхилення тендерних пропозицій</w:t>
      </w:r>
    </w:p>
    <w:p>
      <w:pPr>
        <w:spacing w:after="0" w:line="240" w:lineRule="auto"/>
        <w:jc w:val="both"/>
        <w:rPr>
          <w:b/>
          <w:color w:val="auto"/>
          <w:sz w:val="20"/>
          <w:szCs w:val="20"/>
        </w:rPr>
      </w:pPr>
      <w:r>
        <w:rPr>
          <w:b/>
          <w:color w:val="auto"/>
          <w:sz w:val="20"/>
          <w:szCs w:val="20"/>
        </w:rPr>
        <w:t>Розділ VI. Результати торгів та укладання договору про закупівлю</w:t>
      </w:r>
    </w:p>
    <w:p>
      <w:pPr>
        <w:spacing w:after="0" w:line="240" w:lineRule="auto"/>
        <w:ind w:left="567"/>
        <w:jc w:val="both"/>
        <w:rPr>
          <w:color w:val="auto"/>
          <w:sz w:val="20"/>
          <w:szCs w:val="20"/>
        </w:rPr>
      </w:pPr>
      <w:r>
        <w:rPr>
          <w:color w:val="auto"/>
          <w:sz w:val="20"/>
          <w:szCs w:val="20"/>
        </w:rPr>
        <w:t xml:space="preserve">1. </w:t>
      </w:r>
      <w:r>
        <w:rPr>
          <w:bCs/>
          <w:color w:val="auto"/>
          <w:sz w:val="20"/>
          <w:szCs w:val="20"/>
        </w:rPr>
        <w:t>Відміна замовником торгів чи визнання їх такими, що не відбулися</w:t>
      </w:r>
    </w:p>
    <w:p>
      <w:pPr>
        <w:spacing w:after="0" w:line="240" w:lineRule="auto"/>
        <w:ind w:left="567"/>
        <w:jc w:val="both"/>
        <w:rPr>
          <w:bCs/>
          <w:color w:val="auto"/>
          <w:sz w:val="20"/>
          <w:szCs w:val="20"/>
        </w:rPr>
      </w:pPr>
      <w:r>
        <w:rPr>
          <w:bCs/>
          <w:color w:val="auto"/>
          <w:sz w:val="20"/>
          <w:szCs w:val="20"/>
        </w:rPr>
        <w:t>2. Строк укладання договору</w:t>
      </w:r>
    </w:p>
    <w:p>
      <w:pPr>
        <w:spacing w:after="0" w:line="240" w:lineRule="auto"/>
        <w:ind w:left="567"/>
        <w:jc w:val="both"/>
        <w:rPr>
          <w:bCs/>
          <w:color w:val="auto"/>
          <w:sz w:val="20"/>
          <w:szCs w:val="20"/>
        </w:rPr>
      </w:pPr>
      <w:r>
        <w:rPr>
          <w:bCs/>
          <w:color w:val="auto"/>
          <w:sz w:val="20"/>
          <w:szCs w:val="20"/>
        </w:rPr>
        <w:t>3. Проект договору про закупівлю</w:t>
      </w:r>
    </w:p>
    <w:p>
      <w:pPr>
        <w:spacing w:after="0" w:line="240" w:lineRule="auto"/>
        <w:ind w:left="567"/>
        <w:jc w:val="both"/>
        <w:rPr>
          <w:color w:val="auto"/>
          <w:sz w:val="20"/>
          <w:szCs w:val="20"/>
        </w:rPr>
      </w:pPr>
      <w:r>
        <w:rPr>
          <w:bCs/>
          <w:color w:val="auto"/>
          <w:sz w:val="20"/>
          <w:szCs w:val="20"/>
        </w:rPr>
        <w:t>4</w:t>
      </w:r>
      <w:r>
        <w:rPr>
          <w:color w:val="auto"/>
          <w:sz w:val="20"/>
          <w:szCs w:val="20"/>
          <w:lang w:eastAsia="uk-UA"/>
        </w:rPr>
        <w:t>. Істотні умови, що обов’язково включаються до договору про закупівлю</w:t>
      </w:r>
    </w:p>
    <w:p>
      <w:pPr>
        <w:spacing w:after="0" w:line="240" w:lineRule="auto"/>
        <w:ind w:left="567"/>
        <w:jc w:val="both"/>
        <w:rPr>
          <w:bCs/>
          <w:color w:val="auto"/>
          <w:sz w:val="20"/>
          <w:szCs w:val="20"/>
        </w:rPr>
      </w:pPr>
      <w:r>
        <w:rPr>
          <w:bCs/>
          <w:color w:val="auto"/>
          <w:sz w:val="20"/>
          <w:szCs w:val="20"/>
        </w:rPr>
        <w:t>5. Дії замовника при відмові переможця торгів підписати договір про закупівлю</w:t>
      </w:r>
    </w:p>
    <w:p>
      <w:pPr>
        <w:spacing w:after="0" w:line="240" w:lineRule="auto"/>
        <w:ind w:left="567"/>
        <w:jc w:val="both"/>
        <w:rPr>
          <w:color w:val="auto"/>
          <w:sz w:val="20"/>
          <w:szCs w:val="20"/>
        </w:rPr>
      </w:pPr>
      <w:r>
        <w:rPr>
          <w:bCs/>
          <w:color w:val="auto"/>
          <w:sz w:val="20"/>
          <w:szCs w:val="20"/>
        </w:rPr>
        <w:t>6</w:t>
      </w:r>
      <w:r>
        <w:rPr>
          <w:color w:val="auto"/>
          <w:sz w:val="20"/>
          <w:szCs w:val="20"/>
          <w:lang w:eastAsia="uk-UA"/>
        </w:rPr>
        <w:t>. Забезпечення виконання договору про закупівлю</w:t>
      </w:r>
    </w:p>
    <w:p>
      <w:pPr>
        <w:pStyle w:val="169"/>
        <w:suppressAutoHyphens w:val="0"/>
        <w:spacing w:after="0" w:line="240" w:lineRule="auto"/>
        <w:ind w:left="0"/>
        <w:jc w:val="both"/>
        <w:rPr>
          <w:rFonts w:hint="default"/>
          <w:bCs/>
          <w:color w:val="auto"/>
          <w:sz w:val="20"/>
          <w:szCs w:val="20"/>
          <w:lang w:val="uk-UA" w:eastAsia="ru-RU"/>
        </w:rPr>
      </w:pPr>
      <w:r>
        <w:rPr>
          <w:b/>
          <w:color w:val="auto"/>
          <w:sz w:val="20"/>
          <w:szCs w:val="20"/>
        </w:rPr>
        <w:t xml:space="preserve">Додаток 1. </w:t>
      </w:r>
      <w:r>
        <w:rPr>
          <w:bCs/>
          <w:color w:val="auto"/>
          <w:sz w:val="20"/>
          <w:szCs w:val="20"/>
          <w:lang w:eastAsia="ru-RU"/>
        </w:rPr>
        <w:t>Перелік документів</w:t>
      </w:r>
      <w:r>
        <w:rPr>
          <w:rFonts w:hint="default"/>
          <w:bCs/>
          <w:color w:val="auto"/>
          <w:sz w:val="20"/>
          <w:szCs w:val="20"/>
          <w:lang w:val="uk-UA" w:eastAsia="ru-RU"/>
        </w:rPr>
        <w:t>, які вимагаються для підтвердження відповідності тендерної пропозиції учасника кваліфікаційним та іншим вимогам замовника</w:t>
      </w:r>
    </w:p>
    <w:p>
      <w:pPr>
        <w:pStyle w:val="169"/>
        <w:suppressAutoHyphens w:val="0"/>
        <w:spacing w:after="0" w:line="240" w:lineRule="auto"/>
        <w:ind w:left="0"/>
        <w:jc w:val="both"/>
        <w:rPr>
          <w:rFonts w:hint="default"/>
          <w:color w:val="FF0000"/>
          <w:sz w:val="20"/>
          <w:szCs w:val="20"/>
          <w:lang w:val="uk-UA"/>
        </w:rPr>
      </w:pPr>
      <w:r>
        <w:rPr>
          <w:b/>
          <w:color w:val="auto"/>
          <w:sz w:val="20"/>
          <w:szCs w:val="20"/>
        </w:rPr>
        <w:t xml:space="preserve">Додаток 2. </w:t>
      </w:r>
      <w:r>
        <w:rPr>
          <w:b w:val="0"/>
          <w:bCs/>
          <w:color w:val="auto"/>
          <w:sz w:val="20"/>
          <w:szCs w:val="20"/>
          <w:lang w:val="uk-UA"/>
        </w:rPr>
        <w:t>Інформація</w:t>
      </w:r>
      <w:r>
        <w:rPr>
          <w:rFonts w:hint="default"/>
          <w:b w:val="0"/>
          <w:bCs/>
          <w:color w:val="auto"/>
          <w:sz w:val="20"/>
          <w:szCs w:val="20"/>
          <w:lang w:val="uk-UA"/>
        </w:rPr>
        <w:t xml:space="preserve"> про відсутність підстав, визначених у пункті 47 Особливостей</w:t>
      </w:r>
    </w:p>
    <w:p>
      <w:pPr>
        <w:pStyle w:val="169"/>
        <w:suppressAutoHyphens w:val="0"/>
        <w:spacing w:after="0" w:line="240" w:lineRule="auto"/>
        <w:ind w:left="0"/>
        <w:jc w:val="both"/>
        <w:rPr>
          <w:rFonts w:hint="default"/>
          <w:color w:val="auto"/>
          <w:sz w:val="20"/>
          <w:szCs w:val="20"/>
          <w:lang w:val="uk-UA"/>
        </w:rPr>
      </w:pPr>
      <w:r>
        <w:rPr>
          <w:b/>
          <w:bCs/>
          <w:color w:val="auto"/>
          <w:sz w:val="20"/>
          <w:szCs w:val="20"/>
        </w:rPr>
        <w:t>Додаток 3.</w:t>
      </w:r>
      <w:r>
        <w:rPr>
          <w:bCs/>
          <w:color w:val="auto"/>
          <w:sz w:val="20"/>
          <w:szCs w:val="20"/>
        </w:rPr>
        <w:t xml:space="preserve"> </w:t>
      </w:r>
      <w:r>
        <w:rPr>
          <w:bCs/>
          <w:color w:val="auto"/>
          <w:sz w:val="20"/>
          <w:szCs w:val="20"/>
          <w:lang w:eastAsia="ru-RU"/>
        </w:rPr>
        <w:t xml:space="preserve">Перелік документів </w:t>
      </w:r>
      <w:r>
        <w:rPr>
          <w:bCs/>
          <w:color w:val="auto"/>
          <w:sz w:val="20"/>
          <w:szCs w:val="20"/>
          <w:lang w:val="uk-UA" w:eastAsia="ru-RU"/>
        </w:rPr>
        <w:t>для</w:t>
      </w:r>
      <w:r>
        <w:rPr>
          <w:rFonts w:hint="default"/>
          <w:bCs/>
          <w:color w:val="auto"/>
          <w:sz w:val="20"/>
          <w:szCs w:val="20"/>
          <w:lang w:val="uk-UA" w:eastAsia="ru-RU"/>
        </w:rPr>
        <w:t xml:space="preserve"> ПЕРЕМОЖЦЯ процедури закупівель</w:t>
      </w:r>
    </w:p>
    <w:p>
      <w:pPr>
        <w:pStyle w:val="169"/>
        <w:suppressAutoHyphens w:val="0"/>
        <w:spacing w:after="0" w:line="240" w:lineRule="auto"/>
        <w:ind w:left="0"/>
        <w:jc w:val="both"/>
        <w:rPr>
          <w:color w:val="auto"/>
          <w:sz w:val="20"/>
          <w:szCs w:val="20"/>
        </w:rPr>
      </w:pPr>
      <w:r>
        <w:rPr>
          <w:b/>
          <w:bCs/>
          <w:color w:val="auto"/>
          <w:sz w:val="20"/>
          <w:szCs w:val="20"/>
        </w:rPr>
        <w:t>Додаток 4</w:t>
      </w:r>
      <w:r>
        <w:rPr>
          <w:bCs/>
          <w:color w:val="auto"/>
          <w:sz w:val="20"/>
          <w:szCs w:val="20"/>
        </w:rPr>
        <w:t xml:space="preserve">. </w:t>
      </w:r>
      <w:r>
        <w:rPr>
          <w:color w:val="auto"/>
          <w:sz w:val="20"/>
          <w:szCs w:val="20"/>
          <w:highlight w:val="white"/>
        </w:rPr>
        <w:t>ТЕХНІЧНА СПЕЦИФІКАЦІЯ</w:t>
      </w:r>
      <w:r>
        <w:rPr>
          <w:iCs/>
          <w:color w:val="000000"/>
          <w:sz w:val="20"/>
          <w:szCs w:val="20"/>
          <w:highlight w:val="white"/>
          <w:lang w:eastAsia="ru-RU"/>
        </w:rPr>
        <w:t xml:space="preserve"> (інформація про необхідні технічні, якісні та кількісні характеристики предмета закупівлі та опис предмета закупівлі)</w:t>
      </w:r>
    </w:p>
    <w:p>
      <w:pPr>
        <w:pStyle w:val="169"/>
        <w:suppressAutoHyphens w:val="0"/>
        <w:spacing w:after="0" w:line="240" w:lineRule="auto"/>
        <w:ind w:left="0"/>
        <w:jc w:val="both"/>
        <w:rPr>
          <w:color w:val="auto"/>
          <w:sz w:val="20"/>
          <w:szCs w:val="20"/>
        </w:rPr>
      </w:pPr>
      <w:r>
        <w:rPr>
          <w:b/>
          <w:bCs/>
          <w:color w:val="auto"/>
          <w:sz w:val="20"/>
          <w:szCs w:val="20"/>
        </w:rPr>
        <w:t>Додаток 5</w:t>
      </w:r>
      <w:r>
        <w:rPr>
          <w:bCs/>
          <w:color w:val="auto"/>
          <w:sz w:val="20"/>
          <w:szCs w:val="20"/>
        </w:rPr>
        <w:t xml:space="preserve">. </w:t>
      </w:r>
      <w:r>
        <w:rPr>
          <w:bCs/>
          <w:color w:val="auto"/>
          <w:sz w:val="20"/>
          <w:szCs w:val="20"/>
          <w:lang w:val="uk"/>
        </w:rPr>
        <w:t>ЦІНОВА</w:t>
      </w:r>
      <w:r>
        <w:rPr>
          <w:color w:val="auto"/>
          <w:sz w:val="20"/>
          <w:szCs w:val="20"/>
        </w:rPr>
        <w:t xml:space="preserve"> ПРОПОЗИЦІ</w:t>
      </w:r>
      <w:r>
        <w:rPr>
          <w:color w:val="auto"/>
          <w:sz w:val="20"/>
          <w:szCs w:val="20"/>
          <w:lang w:val="uk-UA"/>
        </w:rPr>
        <w:t>Я</w:t>
      </w:r>
      <w:r>
        <w:rPr>
          <w:color w:val="auto"/>
          <w:sz w:val="20"/>
          <w:szCs w:val="20"/>
        </w:rPr>
        <w:t xml:space="preserve"> на участь у відкритих торгах</w:t>
      </w:r>
    </w:p>
    <w:p>
      <w:pPr>
        <w:pStyle w:val="168"/>
        <w:spacing w:before="0" w:after="0" w:line="240" w:lineRule="auto"/>
        <w:rPr>
          <w:color w:val="auto"/>
          <w:sz w:val="20"/>
          <w:szCs w:val="20"/>
        </w:rPr>
      </w:pPr>
      <w:r>
        <w:rPr>
          <w:b/>
          <w:bCs/>
          <w:color w:val="auto"/>
          <w:sz w:val="20"/>
          <w:szCs w:val="20"/>
        </w:rPr>
        <w:t xml:space="preserve">Додаток 6. </w:t>
      </w:r>
      <w:r>
        <w:rPr>
          <w:color w:val="auto"/>
          <w:sz w:val="20"/>
          <w:szCs w:val="20"/>
        </w:rPr>
        <w:t>ПРОЄКТ ДОГОВОРУ про закупівлю</w:t>
      </w:r>
    </w:p>
    <w:p>
      <w:pPr>
        <w:pStyle w:val="168"/>
        <w:spacing w:before="0" w:after="0" w:line="240" w:lineRule="auto"/>
        <w:rPr>
          <w:color w:val="0000FF"/>
        </w:rPr>
      </w:pPr>
      <w:r>
        <w:rPr>
          <w:color w:val="0000FF"/>
        </w:rPr>
        <w:br w:type="page"/>
      </w:r>
    </w:p>
    <w:tbl>
      <w:tblPr>
        <w:tblStyle w:val="6"/>
        <w:tblW w:w="10318" w:type="dxa"/>
        <w:tblInd w:w="0" w:type="dxa"/>
        <w:tblLayout w:type="autofit"/>
        <w:tblCellMar>
          <w:top w:w="0" w:type="dxa"/>
          <w:left w:w="78" w:type="dxa"/>
          <w:bottom w:w="0" w:type="dxa"/>
          <w:right w:w="108" w:type="dxa"/>
        </w:tblCellMar>
      </w:tblPr>
      <w:tblGrid>
        <w:gridCol w:w="603"/>
        <w:gridCol w:w="2394"/>
        <w:gridCol w:w="7321"/>
      </w:tblGrid>
      <w:tr>
        <w:tblPrEx>
          <w:tblCellMar>
            <w:top w:w="0" w:type="dxa"/>
            <w:left w:w="78" w:type="dxa"/>
            <w:bottom w:w="0" w:type="dxa"/>
            <w:right w:w="108" w:type="dxa"/>
          </w:tblCellMar>
        </w:tblPrEx>
        <w:trPr>
          <w:trHeight w:val="284" w:hRule="atLeast"/>
        </w:trPr>
        <w:tc>
          <w:tcPr>
            <w:tcW w:w="603" w:type="dxa"/>
            <w:tcBorders>
              <w:top w:val="thickThinSmallGap" w:color="C0C0C0" w:sz="12" w:space="0"/>
              <w:left w:val="thickThinSmallGap" w:color="C0C0C0" w:sz="12" w:space="0"/>
              <w:bottom w:val="thickThinSmallGap" w:color="C0C0C0" w:sz="12" w:space="0"/>
            </w:tcBorders>
            <w:shd w:val="clear" w:color="auto" w:fill="auto"/>
          </w:tcPr>
          <w:p>
            <w:pPr>
              <w:pageBreakBefore/>
              <w:rPr>
                <w:b/>
                <w:bCs/>
                <w:color w:val="auto"/>
                <w:sz w:val="20"/>
                <w:szCs w:val="20"/>
              </w:rPr>
            </w:pPr>
            <w:r>
              <w:rPr>
                <w:b/>
                <w:bCs/>
                <w:color w:val="auto"/>
                <w:sz w:val="20"/>
                <w:szCs w:val="20"/>
              </w:rPr>
              <w:t>№</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rPr>
                <w:b/>
                <w:bCs/>
                <w:color w:val="auto"/>
                <w:sz w:val="20"/>
                <w:szCs w:val="20"/>
              </w:rPr>
            </w:pPr>
            <w:r>
              <w:rPr>
                <w:b/>
                <w:bCs/>
                <w:color w:val="auto"/>
                <w:sz w:val="20"/>
                <w:szCs w:val="20"/>
              </w:rPr>
              <w:t>I. Загальні положення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jc w:val="center"/>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jc w:val="center"/>
              <w:rPr>
                <w:b/>
                <w:bCs/>
                <w:color w:val="auto"/>
                <w:sz w:val="20"/>
                <w:szCs w:val="20"/>
              </w:rPr>
            </w:pPr>
            <w:r>
              <w:rPr>
                <w:b/>
                <w:bCs/>
                <w:color w:val="auto"/>
                <w:sz w:val="20"/>
                <w:szCs w:val="20"/>
              </w:rPr>
              <w:t>2</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jc w:val="center"/>
              <w:rPr>
                <w:b/>
                <w:bCs/>
                <w:color w:val="auto"/>
                <w:sz w:val="20"/>
                <w:szCs w:val="20"/>
              </w:rPr>
            </w:pPr>
            <w:r>
              <w:rPr>
                <w:b/>
                <w:bCs/>
                <w:color w:val="auto"/>
                <w:sz w:val="20"/>
                <w:szCs w:val="20"/>
              </w:rPr>
              <w:t>3</w:t>
            </w:r>
          </w:p>
        </w:tc>
      </w:tr>
      <w:tr>
        <w:tblPrEx>
          <w:tblCellMar>
            <w:top w:w="0" w:type="dxa"/>
            <w:left w:w="78" w:type="dxa"/>
            <w:bottom w:w="0" w:type="dxa"/>
            <w:right w:w="108" w:type="dxa"/>
          </w:tblCellMar>
        </w:tblPrEx>
        <w:trPr>
          <w:trHeight w:val="946"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Терміни, які вживаються в тендерній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rtl w:val="0"/>
              </w:rPr>
              <w:t>Тендерн</w:t>
            </w:r>
            <w:r>
              <w:rPr>
                <w:rFonts w:eastAsia="Times New Roman" w:cs="Times New Roman"/>
                <w:color w:val="auto"/>
                <w:sz w:val="20"/>
                <w:szCs w:val="20"/>
                <w:rtl w:val="0"/>
                <w:lang w:val="uk-UA"/>
              </w:rPr>
              <w:t>а</w:t>
            </w:r>
            <w:r>
              <w:rPr>
                <w:rFonts w:ascii="Times New Roman" w:hAnsi="Times New Roman" w:eastAsia="Times New Roman" w:cs="Times New Roman"/>
                <w:color w:val="auto"/>
                <w:sz w:val="20"/>
                <w:szCs w:val="20"/>
                <w:rtl w:val="0"/>
              </w:rPr>
              <w:t xml:space="preserve"> документаці</w:t>
            </w:r>
            <w:r>
              <w:rPr>
                <w:rFonts w:eastAsia="Times New Roman" w:cs="Times New Roman"/>
                <w:color w:val="auto"/>
                <w:sz w:val="20"/>
                <w:szCs w:val="20"/>
                <w:rtl w:val="0"/>
                <w:lang w:val="uk-UA"/>
              </w:rPr>
              <w:t>я</w:t>
            </w:r>
            <w:r>
              <w:rPr>
                <w:rFonts w:ascii="Times New Roman" w:hAnsi="Times New Roman" w:eastAsia="Times New Roman" w:cs="Times New Roman"/>
                <w:color w:val="auto"/>
                <w:sz w:val="20"/>
                <w:szCs w:val="20"/>
                <w:rtl w:val="0"/>
              </w:rPr>
              <w:t xml:space="preserve"> розроблен</w:t>
            </w:r>
            <w:r>
              <w:rPr>
                <w:rFonts w:eastAsia="Times New Roman" w:cs="Times New Roman"/>
                <w:color w:val="auto"/>
                <w:sz w:val="20"/>
                <w:szCs w:val="20"/>
                <w:rtl w:val="0"/>
                <w:lang w:val="uk-UA"/>
              </w:rPr>
              <w:t>а</w:t>
            </w:r>
            <w:r>
              <w:rPr>
                <w:rFonts w:ascii="Times New Roman" w:hAnsi="Times New Roman" w:eastAsia="Times New Roman" w:cs="Times New Roman"/>
                <w:color w:val="auto"/>
                <w:sz w:val="20"/>
                <w:szCs w:val="20"/>
                <w:rtl w:val="0"/>
              </w:rPr>
              <w:t xml:space="preserve"> відповідно до вимог Закону України </w:t>
            </w:r>
            <w:r>
              <w:rPr>
                <w:rFonts w:ascii="Times New Roman" w:hAnsi="Times New Roman" w:eastAsia="Times New Roman" w:cs="Times New Roman"/>
                <w:color w:val="auto"/>
                <w:sz w:val="20"/>
                <w:szCs w:val="20"/>
                <w:highlight w:val="white"/>
                <w:rtl w:val="0"/>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Pr>
                <w:rFonts w:ascii="Times New Roman" w:hAnsi="Times New Roman" w:eastAsia="Times New Roman" w:cs="Times New Roman"/>
                <w:color w:val="auto"/>
                <w:sz w:val="20"/>
                <w:szCs w:val="20"/>
                <w:highlight w:val="white"/>
                <w:rtl w:val="0"/>
                <w:lang w:val="uk-UA"/>
              </w:rPr>
              <w:t>інету</w:t>
            </w:r>
            <w:r>
              <w:rPr>
                <w:rFonts w:hint="default" w:ascii="Times New Roman" w:hAnsi="Times New Roman" w:eastAsia="Times New Roman" w:cs="Times New Roman"/>
                <w:color w:val="auto"/>
                <w:sz w:val="20"/>
                <w:szCs w:val="20"/>
                <w:highlight w:val="white"/>
                <w:rtl w:val="0"/>
                <w:lang w:val="uk-UA"/>
              </w:rPr>
              <w:t xml:space="preserve"> Міністрів України</w:t>
            </w:r>
            <w:r>
              <w:rPr>
                <w:rFonts w:ascii="Times New Roman" w:hAnsi="Times New Roman" w:eastAsia="Times New Roman" w:cs="Times New Roman"/>
                <w:color w:val="auto"/>
                <w:sz w:val="20"/>
                <w:szCs w:val="20"/>
                <w:highlight w:val="white"/>
                <w:rtl w:val="0"/>
              </w:rPr>
              <w:t xml:space="preserve"> від 12.10.2022 № 1178 (із змінами й доповненнями) (далі — Особливості).</w:t>
            </w:r>
          </w:p>
          <w:p>
            <w:pPr>
              <w:spacing w:after="0" w:line="240" w:lineRule="auto"/>
              <w:jc w:val="both"/>
              <w:rPr>
                <w:color w:val="auto"/>
                <w:sz w:val="20"/>
                <w:szCs w:val="20"/>
              </w:rPr>
            </w:pPr>
            <w:r>
              <w:rPr>
                <w:rFonts w:ascii="Times New Roman" w:hAnsi="Times New Roman" w:eastAsia="Times New Roman" w:cs="Times New Roman"/>
                <w:color w:val="auto"/>
                <w:sz w:val="20"/>
                <w:szCs w:val="20"/>
                <w:rtl w:val="0"/>
              </w:rPr>
              <w:t xml:space="preserve"> Терміни, які використовуються в цій документації, вживаються у значенні, наведеному в Законі та Особливостях.</w:t>
            </w:r>
          </w:p>
        </w:tc>
      </w:tr>
      <w:tr>
        <w:tblPrEx>
          <w:tblCellMar>
            <w:top w:w="0" w:type="dxa"/>
            <w:left w:w="78" w:type="dxa"/>
            <w:bottom w:w="0" w:type="dxa"/>
            <w:right w:w="108" w:type="dxa"/>
          </w:tblCellMar>
        </w:tblPrEx>
        <w:trPr>
          <w:trHeight w:val="47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b/>
                <w:bCs/>
                <w:color w:val="auto"/>
                <w:sz w:val="20"/>
                <w:szCs w:val="20"/>
              </w:rPr>
            </w:pPr>
            <w:r>
              <w:rPr>
                <w:b/>
                <w:bCs/>
                <w:color w:val="auto"/>
                <w:sz w:val="20"/>
                <w:szCs w:val="20"/>
              </w:rPr>
              <w:t>Інформація про замовника торгів</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повне найменування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auto"/>
                <w:sz w:val="20"/>
                <w:szCs w:val="20"/>
              </w:rPr>
            </w:pPr>
            <w:r>
              <w:rPr>
                <w:color w:val="auto"/>
                <w:sz w:val="20"/>
                <w:szCs w:val="20"/>
              </w:rPr>
              <w:t>Товариство з обмеженою відповідальністю "Запоріжжяелектропостачання"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місцезнаходження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tabs>
                <w:tab w:val="left" w:pos="511"/>
              </w:tabs>
              <w:spacing w:after="0" w:line="240" w:lineRule="auto"/>
              <w:jc w:val="both"/>
              <w:rPr>
                <w:color w:val="auto"/>
                <w:sz w:val="20"/>
                <w:szCs w:val="20"/>
              </w:rPr>
            </w:pPr>
            <w:r>
              <w:rPr>
                <w:rFonts w:eastAsia="Times New Roman"/>
                <w:color w:val="auto"/>
                <w:sz w:val="20"/>
                <w:szCs w:val="20"/>
              </w:rPr>
              <w:t>вулиця Олександрівська, будинок 35, місто Запоріжжя, Запорізька область, Україна,</w:t>
            </w:r>
            <w:r>
              <w:rPr>
                <w:color w:val="auto"/>
                <w:sz w:val="20"/>
                <w:szCs w:val="20"/>
              </w:rPr>
              <w:t xml:space="preserve"> </w:t>
            </w:r>
            <w:r>
              <w:rPr>
                <w:rFonts w:eastAsia="Times New Roman"/>
                <w:color w:val="auto"/>
                <w:sz w:val="20"/>
                <w:szCs w:val="20"/>
              </w:rPr>
              <w:t>69063</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посадова особа замовника, уповноважена здійснювати зв'язок з учасниками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ind w:right="28"/>
              <w:jc w:val="both"/>
              <w:rPr>
                <w:color w:val="auto"/>
              </w:rPr>
            </w:pPr>
            <w:r>
              <w:rPr>
                <w:rStyle w:val="21"/>
                <w:color w:val="auto"/>
                <w:sz w:val="20"/>
                <w:szCs w:val="20"/>
                <w:lang w:val="uk-UA"/>
              </w:rPr>
              <w:t>Семьонова</w:t>
            </w:r>
            <w:r>
              <w:rPr>
                <w:rStyle w:val="21"/>
                <w:rFonts w:hint="default"/>
                <w:color w:val="auto"/>
                <w:sz w:val="20"/>
                <w:szCs w:val="20"/>
                <w:lang w:val="uk-UA"/>
              </w:rPr>
              <w:t xml:space="preserve"> Олена Леонідівна</w:t>
            </w:r>
            <w:r>
              <w:rPr>
                <w:rStyle w:val="21"/>
                <w:color w:val="auto"/>
                <w:sz w:val="20"/>
                <w:szCs w:val="20"/>
              </w:rPr>
              <w:t xml:space="preserve">, </w:t>
            </w:r>
            <w:r>
              <w:rPr>
                <w:rStyle w:val="21"/>
                <w:color w:val="auto"/>
                <w:sz w:val="20"/>
                <w:szCs w:val="20"/>
                <w:lang w:val="uk-UA"/>
              </w:rPr>
              <w:t>менеджер</w:t>
            </w:r>
            <w:r>
              <w:rPr>
                <w:rStyle w:val="21"/>
                <w:rFonts w:hint="default"/>
                <w:color w:val="auto"/>
                <w:sz w:val="20"/>
                <w:szCs w:val="20"/>
                <w:lang w:val="uk-UA"/>
              </w:rPr>
              <w:t xml:space="preserve"> із тендерних закупівель</w:t>
            </w:r>
            <w:r>
              <w:rPr>
                <w:rStyle w:val="21"/>
                <w:color w:val="auto"/>
                <w:sz w:val="20"/>
                <w:szCs w:val="20"/>
              </w:rPr>
              <w:t> </w:t>
            </w:r>
            <w:r>
              <w:rPr>
                <w:rStyle w:val="21"/>
                <w:color w:val="auto"/>
                <w:sz w:val="20"/>
                <w:szCs w:val="20"/>
                <w:lang w:val="uk"/>
              </w:rPr>
              <w:t>та</w:t>
            </w:r>
            <w:r>
              <w:rPr>
                <w:rStyle w:val="21"/>
                <w:rFonts w:hint="default"/>
                <w:color w:val="auto"/>
                <w:sz w:val="20"/>
                <w:szCs w:val="20"/>
                <w:lang w:val="uk"/>
              </w:rPr>
              <w:t xml:space="preserve"> договірної роботи </w:t>
            </w:r>
            <w:r>
              <w:rPr>
                <w:rStyle w:val="21"/>
                <w:color w:val="auto"/>
                <w:sz w:val="20"/>
                <w:szCs w:val="20"/>
              </w:rPr>
              <w:t xml:space="preserve">фінансово-економічного відділу ТОВ "Запоріжжяелектропостачання" </w:t>
            </w:r>
            <w:r>
              <w:rPr>
                <w:rStyle w:val="21"/>
                <w:rFonts w:hint="default"/>
                <w:color w:val="auto"/>
                <w:sz w:val="20"/>
                <w:szCs w:val="20"/>
                <w:lang w:val="uk"/>
              </w:rPr>
              <w:t xml:space="preserve">   </w:t>
            </w:r>
            <w:r>
              <w:rPr>
                <w:color w:val="auto"/>
                <w:sz w:val="20"/>
                <w:szCs w:val="20"/>
              </w:rPr>
              <w:t>тел.:</w:t>
            </w:r>
            <w:r>
              <w:rPr>
                <w:rStyle w:val="21"/>
                <w:color w:val="auto"/>
                <w:sz w:val="20"/>
                <w:szCs w:val="20"/>
              </w:rPr>
              <w:t xml:space="preserve"> </w:t>
            </w:r>
            <w:r>
              <w:rPr>
                <w:rStyle w:val="21"/>
                <w:rFonts w:hint="default"/>
                <w:i/>
                <w:iCs/>
                <w:color w:val="auto"/>
                <w:sz w:val="20"/>
                <w:szCs w:val="20"/>
                <w:lang w:val="uk"/>
              </w:rPr>
              <w:t>063-839-98-47</w:t>
            </w:r>
            <w:r>
              <w:rPr>
                <w:rStyle w:val="21"/>
                <w:color w:val="auto"/>
                <w:sz w:val="20"/>
                <w:szCs w:val="20"/>
                <w:lang w:val="ru-RU"/>
              </w:rPr>
              <w:t>,</w:t>
            </w:r>
            <w:r>
              <w:rPr>
                <w:rStyle w:val="21"/>
                <w:rFonts w:hint="default"/>
                <w:color w:val="auto"/>
                <w:sz w:val="20"/>
                <w:szCs w:val="20"/>
                <w:lang w:val="uk"/>
              </w:rPr>
              <w:t xml:space="preserve"> </w:t>
            </w:r>
            <w:r>
              <w:rPr>
                <w:color w:val="auto"/>
                <w:sz w:val="20"/>
                <w:szCs w:val="20"/>
                <w:lang w:val="en-US"/>
              </w:rPr>
              <w:t>e</w:t>
            </w:r>
            <w:r>
              <w:rPr>
                <w:color w:val="auto"/>
                <w:sz w:val="20"/>
                <w:szCs w:val="20"/>
                <w:lang w:val="ru-RU"/>
              </w:rPr>
              <w:t>-</w:t>
            </w:r>
            <w:r>
              <w:rPr>
                <w:rFonts w:eastAsia="Times New Roman"/>
                <w:color w:val="auto"/>
                <w:sz w:val="20"/>
                <w:szCs w:val="20"/>
                <w:lang w:val="en-US"/>
              </w:rPr>
              <w:t>mail</w:t>
            </w:r>
            <w:r>
              <w:rPr>
                <w:rFonts w:eastAsia="Times New Roman"/>
                <w:color w:val="auto"/>
                <w:sz w:val="20"/>
                <w:szCs w:val="20"/>
                <w:lang w:val="ru-RU"/>
              </w:rPr>
              <w:t>:</w:t>
            </w:r>
            <w:r>
              <w:rPr>
                <w:rStyle w:val="21"/>
                <w:color w:val="auto"/>
                <w:sz w:val="20"/>
                <w:szCs w:val="20"/>
              </w:rPr>
              <w:t xml:space="preserve"> </w:t>
            </w:r>
            <w:r>
              <w:rPr>
                <w:rStyle w:val="21"/>
                <w:rFonts w:hint="default"/>
                <w:color w:val="auto"/>
                <w:sz w:val="20"/>
                <w:szCs w:val="20"/>
                <w:lang w:val="en-US"/>
              </w:rPr>
              <w:t>o.semyonova</w:t>
            </w:r>
            <w:r>
              <w:rPr>
                <w:rStyle w:val="21"/>
                <w:color w:val="auto"/>
                <w:sz w:val="20"/>
                <w:szCs w:val="20"/>
              </w:rPr>
              <w:t>@zpep.com.ua</w:t>
            </w:r>
            <w:r>
              <w:rPr>
                <w:color w:val="auto"/>
                <w:sz w:val="20"/>
                <w:szCs w:val="20"/>
              </w:rPr>
              <w:t xml:space="preserve"> </w:t>
            </w:r>
          </w:p>
          <w:p>
            <w:pPr>
              <w:spacing w:after="0" w:line="240" w:lineRule="auto"/>
              <w:jc w:val="both"/>
              <w:rPr>
                <w:color w:val="FF0000"/>
                <w:sz w:val="20"/>
                <w:szCs w:val="20"/>
              </w:rPr>
            </w:pPr>
          </w:p>
        </w:tc>
      </w:tr>
      <w:tr>
        <w:tblPrEx>
          <w:tblCellMar>
            <w:top w:w="0" w:type="dxa"/>
            <w:left w:w="78" w:type="dxa"/>
            <w:bottom w:w="0" w:type="dxa"/>
            <w:right w:w="108" w:type="dxa"/>
          </w:tblCellMar>
        </w:tblPrEx>
        <w:trPr>
          <w:trHeight w:val="365"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Процедура закупівлі</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FF0000"/>
                <w:sz w:val="20"/>
                <w:szCs w:val="20"/>
              </w:rPr>
            </w:pPr>
            <w:r>
              <w:rPr>
                <w:color w:val="auto"/>
                <w:sz w:val="20"/>
                <w:szCs w:val="20"/>
                <w:lang w:val="uk"/>
              </w:rPr>
              <w:t>В</w:t>
            </w:r>
            <w:r>
              <w:rPr>
                <w:color w:val="auto"/>
                <w:sz w:val="20"/>
                <w:szCs w:val="20"/>
              </w:rPr>
              <w:t>ідкриті торги з особливостями</w:t>
            </w:r>
          </w:p>
        </w:tc>
      </w:tr>
      <w:tr>
        <w:tblPrEx>
          <w:tblCellMar>
            <w:top w:w="0" w:type="dxa"/>
            <w:left w:w="78" w:type="dxa"/>
            <w:bottom w:w="0" w:type="dxa"/>
            <w:right w:w="108" w:type="dxa"/>
          </w:tblCellMar>
        </w:tblPrEx>
        <w:trPr>
          <w:trHeight w:val="52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w:t>
            </w:r>
          </w:p>
        </w:tc>
        <w:tc>
          <w:tcPr>
            <w:tcW w:w="9715" w:type="dxa"/>
            <w:gridSpan w:val="2"/>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b/>
                <w:bCs/>
                <w:color w:val="auto"/>
                <w:sz w:val="20"/>
                <w:szCs w:val="20"/>
              </w:rPr>
            </w:pPr>
            <w:r>
              <w:rPr>
                <w:b/>
                <w:bCs/>
                <w:color w:val="auto"/>
                <w:sz w:val="20"/>
                <w:szCs w:val="20"/>
              </w:rPr>
              <w:t>Інформація про предмет закупівлі</w:t>
            </w:r>
          </w:p>
        </w:tc>
      </w:tr>
      <w:tr>
        <w:tblPrEx>
          <w:tblCellMar>
            <w:top w:w="0" w:type="dxa"/>
            <w:left w:w="78" w:type="dxa"/>
            <w:bottom w:w="0" w:type="dxa"/>
            <w:right w:w="108" w:type="dxa"/>
          </w:tblCellMar>
        </w:tblPrEx>
        <w:trPr>
          <w:trHeight w:val="1127"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назва предмета закупівлі</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color w:val="auto"/>
                <w:sz w:val="20"/>
                <w:szCs w:val="20"/>
                <w:lang w:val="uk"/>
              </w:rPr>
            </w:pPr>
            <w:r>
              <w:rPr>
                <w:color w:val="auto"/>
                <w:sz w:val="20"/>
                <w:szCs w:val="20"/>
                <w:lang w:val="uk"/>
              </w:rPr>
              <w:t>Код згідно Національного класифікатора України ДК 021:2015 «Єдиний закупівельний словник»: 64120000-3 - Кур'єрські послуги</w:t>
            </w:r>
          </w:p>
          <w:p>
            <w:pPr>
              <w:spacing w:after="0" w:line="240" w:lineRule="auto"/>
              <w:jc w:val="both"/>
              <w:rPr>
                <w:color w:val="auto"/>
                <w:sz w:val="20"/>
                <w:szCs w:val="20"/>
                <w:lang w:val="uk"/>
              </w:rPr>
            </w:pPr>
          </w:p>
          <w:p>
            <w:pPr>
              <w:spacing w:after="0" w:line="240" w:lineRule="auto"/>
              <w:jc w:val="both"/>
              <w:rPr>
                <w:bCs/>
                <w:color w:val="000000"/>
                <w:sz w:val="20"/>
                <w:szCs w:val="20"/>
              </w:rPr>
            </w:pPr>
            <w:r>
              <w:rPr>
                <w:color w:val="auto"/>
                <w:sz w:val="20"/>
                <w:szCs w:val="20"/>
                <w:lang w:val="uk"/>
              </w:rPr>
              <w:t>Назва предмета закупівлі: послуги з доставки рахунків на адреси фізичних осіб</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опис окремої частини (частин) предмета закупівлі (лота), щодо якої можуть бути подані тендерні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rFonts w:hint="default"/>
                <w:color w:val="auto"/>
                <w:sz w:val="20"/>
                <w:szCs w:val="20"/>
                <w:lang w:val="uk-UA"/>
              </w:rPr>
            </w:pPr>
            <w:r>
              <w:rPr>
                <w:color w:val="auto"/>
                <w:sz w:val="20"/>
                <w:szCs w:val="20"/>
                <w:lang w:val="uk-UA"/>
              </w:rPr>
              <w:t>Закупівля</w:t>
            </w:r>
            <w:r>
              <w:rPr>
                <w:rFonts w:hint="default"/>
                <w:color w:val="auto"/>
                <w:sz w:val="20"/>
                <w:szCs w:val="20"/>
                <w:lang w:val="uk-UA"/>
              </w:rPr>
              <w:t xml:space="preserve"> здійснюється щодо предмета закупівлі в цілому (п</w:t>
            </w:r>
            <w:r>
              <w:rPr>
                <w:bCs/>
                <w:sz w:val="20"/>
                <w:szCs w:val="20"/>
                <w:lang w:val="uk-UA"/>
              </w:rPr>
              <w:t>оділ предмета закупівлі на лоти не передбачений</w:t>
            </w:r>
            <w:r>
              <w:rPr>
                <w:rFonts w:hint="default"/>
                <w:bCs/>
                <w:sz w:val="20"/>
                <w:szCs w:val="20"/>
                <w:lang w:val="uk-UA"/>
              </w:rPr>
              <w:t>)</w:t>
            </w:r>
          </w:p>
        </w:tc>
      </w:tr>
      <w:tr>
        <w:tblPrEx>
          <w:tblCellMar>
            <w:top w:w="0" w:type="dxa"/>
            <w:left w:w="78" w:type="dxa"/>
            <w:bottom w:w="0" w:type="dxa"/>
            <w:right w:w="108" w:type="dxa"/>
          </w:tblCellMar>
        </w:tblPrEx>
        <w:trPr>
          <w:trHeight w:val="959"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rFonts w:hint="default"/>
                <w:b/>
                <w:bCs/>
                <w:color w:val="auto"/>
                <w:sz w:val="20"/>
                <w:szCs w:val="20"/>
                <w:lang w:val="uk-UA"/>
              </w:rPr>
            </w:pPr>
            <w:r>
              <w:rPr>
                <w:b/>
                <w:bCs/>
                <w:color w:val="auto"/>
                <w:sz w:val="20"/>
                <w:szCs w:val="20"/>
              </w:rPr>
              <w:t xml:space="preserve">місце, </w:t>
            </w:r>
            <w:r>
              <w:rPr>
                <w:b/>
                <w:bCs/>
                <w:color w:val="auto"/>
                <w:sz w:val="20"/>
                <w:szCs w:val="20"/>
                <w:lang w:val="uk-UA"/>
              </w:rPr>
              <w:t>де</w:t>
            </w:r>
            <w:r>
              <w:rPr>
                <w:rFonts w:hint="default"/>
                <w:b/>
                <w:bCs/>
                <w:color w:val="auto"/>
                <w:sz w:val="20"/>
                <w:szCs w:val="20"/>
                <w:lang w:val="uk-UA"/>
              </w:rPr>
              <w:t xml:space="preserve"> повинні бути виконані роботи чи надані послуги, їх обсяги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tabs>
                <w:tab w:val="left" w:pos="0"/>
              </w:tabs>
              <w:spacing w:after="0" w:line="240" w:lineRule="auto"/>
              <w:jc w:val="both"/>
              <w:rPr>
                <w:color w:val="auto"/>
                <w:sz w:val="20"/>
                <w:szCs w:val="20"/>
                <w:lang w:val="ru-RU"/>
              </w:rPr>
            </w:pPr>
            <w:r>
              <w:rPr>
                <w:color w:val="auto"/>
                <w:sz w:val="20"/>
                <w:szCs w:val="20"/>
                <w:lang w:val="uk"/>
              </w:rPr>
              <w:t>О</w:t>
            </w:r>
            <w:r>
              <w:rPr>
                <w:color w:val="auto"/>
                <w:sz w:val="20"/>
                <w:szCs w:val="20"/>
                <w:lang w:val="ru-RU"/>
              </w:rPr>
              <w:t xml:space="preserve">бсяг надання послуг зазначено в Додатку 4 до тендерної документації з закупівлі </w:t>
            </w:r>
          </w:p>
          <w:p>
            <w:pPr>
              <w:tabs>
                <w:tab w:val="left" w:pos="0"/>
              </w:tabs>
              <w:spacing w:after="0" w:line="240" w:lineRule="auto"/>
              <w:jc w:val="both"/>
              <w:rPr>
                <w:rFonts w:hint="default"/>
                <w:color w:val="auto"/>
                <w:sz w:val="20"/>
                <w:szCs w:val="20"/>
                <w:lang w:val="uk"/>
              </w:rPr>
            </w:pPr>
            <w:r>
              <w:rPr>
                <w:color w:val="auto"/>
                <w:sz w:val="20"/>
                <w:szCs w:val="20"/>
                <w:lang w:val="ru-RU"/>
              </w:rPr>
              <w:t xml:space="preserve">місце надання послуг: міста, села та селища </w:t>
            </w:r>
            <w:r>
              <w:rPr>
                <w:color w:val="auto"/>
                <w:sz w:val="20"/>
                <w:szCs w:val="20"/>
                <w:lang w:val="ru-RU" w:eastAsia="ru-RU"/>
              </w:rPr>
              <w:t xml:space="preserve">(та населені пункти які до них відносяться) </w:t>
            </w:r>
            <w:r>
              <w:rPr>
                <w:color w:val="auto"/>
                <w:sz w:val="20"/>
                <w:szCs w:val="20"/>
                <w:lang w:val="ru-RU"/>
              </w:rPr>
              <w:t>Запорізької області</w:t>
            </w:r>
            <w:bookmarkStart w:id="8" w:name="_GoBack"/>
            <w:bookmarkEnd w:id="8"/>
            <w:r>
              <w:rPr>
                <w:rFonts w:hint="default"/>
                <w:color w:val="auto"/>
                <w:sz w:val="20"/>
                <w:szCs w:val="20"/>
                <w:lang w:val="ru-RU"/>
              </w:rPr>
              <w:t xml:space="preserve"> </w:t>
            </w:r>
          </w:p>
        </w:tc>
      </w:tr>
      <w:tr>
        <w:tblPrEx>
          <w:tblCellMar>
            <w:top w:w="0" w:type="dxa"/>
            <w:left w:w="78" w:type="dxa"/>
            <w:bottom w:w="0" w:type="dxa"/>
            <w:right w:w="108" w:type="dxa"/>
          </w:tblCellMar>
        </w:tblPrEx>
        <w:trPr>
          <w:trHeight w:val="453"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4.4</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строк</w:t>
            </w:r>
            <w:r>
              <w:rPr>
                <w:b/>
                <w:bCs/>
                <w:color w:val="auto"/>
                <w:sz w:val="20"/>
                <w:szCs w:val="20"/>
                <w:lang w:val="uk-UA"/>
              </w:rPr>
              <w:t>и</w:t>
            </w:r>
            <w:r>
              <w:rPr>
                <w:b/>
                <w:bCs/>
                <w:color w:val="auto"/>
                <w:sz w:val="20"/>
                <w:szCs w:val="20"/>
              </w:rPr>
              <w:t xml:space="preserve"> поставки товарів</w:t>
            </w:r>
            <w:r>
              <w:rPr>
                <w:rFonts w:hint="default"/>
                <w:b/>
                <w:bCs/>
                <w:color w:val="auto"/>
                <w:sz w:val="20"/>
                <w:szCs w:val="20"/>
                <w:lang w:val="uk-UA"/>
              </w:rPr>
              <w:t xml:space="preserve">, </w:t>
            </w:r>
            <w:r>
              <w:rPr>
                <w:b/>
                <w:bCs/>
                <w:color w:val="auto"/>
                <w:sz w:val="20"/>
                <w:szCs w:val="20"/>
              </w:rPr>
              <w:t>виконання робіт</w:t>
            </w:r>
            <w:r>
              <w:rPr>
                <w:rFonts w:hint="default"/>
                <w:b/>
                <w:bCs/>
                <w:color w:val="auto"/>
                <w:sz w:val="20"/>
                <w:szCs w:val="20"/>
                <w:lang w:val="uk-UA"/>
              </w:rPr>
              <w:t xml:space="preserve">, </w:t>
            </w:r>
            <w:r>
              <w:rPr>
                <w:b/>
                <w:bCs/>
                <w:color w:val="auto"/>
                <w:sz w:val="20"/>
                <w:szCs w:val="20"/>
              </w:rPr>
              <w:t>надання послуг</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jc w:val="both"/>
              <w:rPr>
                <w:rFonts w:hint="default"/>
                <w:color w:val="auto"/>
                <w:sz w:val="20"/>
                <w:szCs w:val="20"/>
                <w:lang w:val="uk"/>
              </w:rPr>
            </w:pPr>
            <w:r>
              <w:rPr>
                <w:color w:val="auto"/>
                <w:sz w:val="20"/>
                <w:szCs w:val="20"/>
                <w:lang w:val="uk"/>
              </w:rPr>
              <w:t>С</w:t>
            </w:r>
            <w:r>
              <w:rPr>
                <w:color w:val="auto"/>
                <w:sz w:val="20"/>
                <w:szCs w:val="20"/>
              </w:rPr>
              <w:t>трок надання послуг:</w:t>
            </w:r>
            <w:r>
              <w:rPr>
                <w:rFonts w:hint="default"/>
                <w:color w:val="auto"/>
                <w:sz w:val="20"/>
                <w:szCs w:val="20"/>
                <w:lang w:val="uk-UA"/>
              </w:rPr>
              <w:t xml:space="preserve"> </w:t>
            </w:r>
            <w:r>
              <w:rPr>
                <w:rFonts w:hint="default"/>
                <w:color w:val="auto"/>
                <w:sz w:val="20"/>
                <w:szCs w:val="20"/>
                <w:lang w:val="uk"/>
              </w:rPr>
              <w:t>до 31 грудня 2024 року включно</w:t>
            </w:r>
          </w:p>
          <w:p>
            <w:pPr>
              <w:spacing w:after="0" w:line="240" w:lineRule="auto"/>
              <w:jc w:val="both"/>
              <w:rPr>
                <w:rFonts w:hint="default"/>
                <w:color w:val="auto"/>
                <w:sz w:val="20"/>
                <w:szCs w:val="20"/>
                <w:lang w:val="uk"/>
              </w:rPr>
            </w:pPr>
            <w:r>
              <w:rPr>
                <w:rFonts w:hint="default"/>
                <w:color w:val="auto"/>
                <w:sz w:val="20"/>
                <w:szCs w:val="20"/>
                <w:lang w:val="uk"/>
              </w:rPr>
              <w:t>дія договору: з дати підписання договору до</w:t>
            </w:r>
            <w:r>
              <w:rPr>
                <w:color w:val="auto"/>
                <w:sz w:val="20"/>
                <w:szCs w:val="20"/>
              </w:rPr>
              <w:t xml:space="preserve"> 31</w:t>
            </w:r>
            <w:r>
              <w:rPr>
                <w:color w:val="auto"/>
                <w:sz w:val="20"/>
                <w:szCs w:val="20"/>
                <w:lang w:val="ru-RU"/>
              </w:rPr>
              <w:t xml:space="preserve"> грудня </w:t>
            </w:r>
            <w:r>
              <w:rPr>
                <w:color w:val="auto"/>
                <w:sz w:val="20"/>
                <w:szCs w:val="20"/>
              </w:rPr>
              <w:t>202</w:t>
            </w:r>
            <w:r>
              <w:rPr>
                <w:rFonts w:hint="default"/>
                <w:color w:val="auto"/>
                <w:sz w:val="20"/>
                <w:szCs w:val="20"/>
                <w:lang w:val="uk"/>
              </w:rPr>
              <w:t>4</w:t>
            </w:r>
            <w:r>
              <w:rPr>
                <w:color w:val="auto"/>
                <w:sz w:val="20"/>
                <w:szCs w:val="20"/>
                <w:lang w:val="ru-RU"/>
              </w:rPr>
              <w:t xml:space="preserve"> року</w:t>
            </w:r>
            <w:r>
              <w:rPr>
                <w:color w:val="auto"/>
                <w:sz w:val="20"/>
                <w:szCs w:val="20"/>
              </w:rPr>
              <w:t xml:space="preserve"> включн</w:t>
            </w:r>
            <w:r>
              <w:rPr>
                <w:color w:val="auto"/>
                <w:sz w:val="20"/>
                <w:szCs w:val="20"/>
                <w:lang w:val="uk"/>
              </w:rPr>
              <w:t>о</w:t>
            </w:r>
          </w:p>
        </w:tc>
      </w:tr>
      <w:tr>
        <w:tblPrEx>
          <w:tblCellMar>
            <w:top w:w="0" w:type="dxa"/>
            <w:left w:w="78" w:type="dxa"/>
            <w:bottom w:w="0" w:type="dxa"/>
            <w:right w:w="108" w:type="dxa"/>
          </w:tblCellMar>
        </w:tblPrEx>
        <w:trPr>
          <w:trHeight w:val="693"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5.</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Недискримінація учасників</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right="-66" w:firstLine="240" w:firstLineChars="120"/>
              <w:jc w:val="both"/>
              <w:rPr>
                <w:color w:val="auto"/>
                <w:sz w:val="20"/>
                <w:szCs w:val="20"/>
                <w:lang w:val="uk-UA"/>
              </w:rPr>
            </w:pPr>
            <w:r>
              <w:rPr>
                <w:color w:val="auto"/>
                <w:sz w:val="20"/>
                <w:szCs w:val="20"/>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pPr>
              <w:spacing w:after="0" w:line="240" w:lineRule="auto"/>
              <w:ind w:left="0" w:leftChars="0" w:right="-66" w:firstLine="240" w:firstLineChars="120"/>
              <w:jc w:val="both"/>
              <w:rPr>
                <w:color w:val="auto"/>
                <w:sz w:val="20"/>
                <w:szCs w:val="20"/>
                <w:lang w:val="uk-UA"/>
              </w:rPr>
            </w:pPr>
            <w:r>
              <w:rPr>
                <w:color w:val="auto"/>
                <w:sz w:val="20"/>
                <w:szCs w:val="20"/>
                <w:lang w:val="uk-UA"/>
              </w:rPr>
              <w:t>Для цілей цієї документації відповідно до Закону до об'єднання учасників належать:</w:t>
            </w:r>
          </w:p>
          <w:p>
            <w:pPr>
              <w:spacing w:after="0" w:line="240" w:lineRule="auto"/>
              <w:ind w:left="0" w:leftChars="0" w:right="-66" w:firstLine="240" w:firstLineChars="120"/>
              <w:jc w:val="both"/>
              <w:rPr>
                <w:color w:val="auto"/>
                <w:sz w:val="20"/>
                <w:szCs w:val="20"/>
                <w:lang w:val="uk-UA"/>
              </w:rPr>
            </w:pPr>
            <w:r>
              <w:rPr>
                <w:color w:val="auto"/>
                <w:sz w:val="20"/>
                <w:szCs w:val="20"/>
                <w:lang w:val="uk-UA"/>
              </w:rPr>
              <w:t>окрема юридична особа, створена шляхом об'єднання юридичних осіб - резидентів;</w:t>
            </w:r>
          </w:p>
          <w:p>
            <w:pPr>
              <w:spacing w:after="0" w:line="240" w:lineRule="auto"/>
              <w:ind w:left="0" w:leftChars="0" w:right="-66" w:firstLine="240" w:firstLineChars="120"/>
              <w:jc w:val="both"/>
              <w:rPr>
                <w:color w:val="auto"/>
                <w:sz w:val="20"/>
                <w:szCs w:val="20"/>
                <w:lang w:val="uk-UA"/>
              </w:rPr>
            </w:pPr>
            <w:r>
              <w:rPr>
                <w:color w:val="auto"/>
                <w:sz w:val="20"/>
                <w:szCs w:val="20"/>
                <w:lang w:val="uk-UA"/>
              </w:rPr>
              <w:t>окрема юридична особа, створена шляхом об'єднання юридичних осіб (резидентів та нерезидентів);</w:t>
            </w:r>
          </w:p>
          <w:p>
            <w:pPr>
              <w:spacing w:after="0" w:line="240" w:lineRule="auto"/>
              <w:ind w:left="0" w:leftChars="0" w:right="-66" w:firstLine="240" w:firstLineChars="120"/>
              <w:jc w:val="both"/>
              <w:rPr>
                <w:color w:val="auto"/>
                <w:sz w:val="20"/>
                <w:szCs w:val="20"/>
                <w:lang w:val="uk-UA"/>
              </w:rPr>
            </w:pPr>
            <w:r>
              <w:rPr>
                <w:color w:val="auto"/>
                <w:sz w:val="20"/>
                <w:szCs w:val="20"/>
                <w:lang w:val="uk-UA"/>
              </w:rPr>
              <w:t>об'єднання юридичних осіб - нерезидентів із створенням або без створення окремої юридичної особи.</w:t>
            </w:r>
          </w:p>
          <w:p>
            <w:pPr>
              <w:spacing w:after="0" w:line="240" w:lineRule="auto"/>
              <w:ind w:left="0" w:leftChars="0" w:right="-66" w:firstLine="240" w:firstLineChars="120"/>
              <w:jc w:val="both"/>
              <w:rPr>
                <w:color w:val="auto"/>
                <w:sz w:val="20"/>
                <w:szCs w:val="20"/>
                <w:lang w:val="uk-UA"/>
              </w:rPr>
            </w:pPr>
            <w:r>
              <w:rPr>
                <w:color w:val="auto"/>
                <w:sz w:val="20"/>
                <w:szCs w:val="20"/>
                <w:lang w:val="uk-UA"/>
              </w:rPr>
              <w:t>Під час проведення відкритих торгів тендерні пропозиції мають право подавати всі заінтересовані особи, окрім:</w:t>
            </w:r>
          </w:p>
          <w:p>
            <w:pPr>
              <w:spacing w:after="0" w:line="240" w:lineRule="auto"/>
              <w:ind w:left="0" w:leftChars="0" w:right="0" w:firstLine="0" w:firstLineChars="0"/>
              <w:jc w:val="left"/>
              <w:rPr>
                <w:color w:val="auto"/>
                <w:sz w:val="20"/>
                <w:szCs w:val="20"/>
                <w:lang w:val="uk-UA"/>
              </w:rPr>
            </w:pPr>
            <w:r>
              <w:rPr>
                <w:color w:val="auto"/>
                <w:sz w:val="20"/>
                <w:szCs w:val="20"/>
                <w:lang w:val="uk-UA"/>
              </w:rPr>
              <w:t>громадян Російської Федерації/Республіки Білорусь</w:t>
            </w:r>
            <w:r>
              <w:rPr>
                <w:rFonts w:hint="default"/>
                <w:color w:val="auto"/>
                <w:sz w:val="20"/>
                <w:szCs w:val="2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hint="default"/>
                <w:color w:val="auto"/>
                <w:sz w:val="20"/>
                <w:szCs w:val="20"/>
                <w:lang w:val="uk"/>
              </w:rPr>
              <w:t xml:space="preserve"> </w:t>
            </w:r>
            <w:r>
              <w:rPr>
                <w:color w:val="auto"/>
                <w:sz w:val="20"/>
                <w:szCs w:val="20"/>
                <w:lang w:val="uk-UA"/>
              </w:rPr>
              <w:t xml:space="preserve">(крім тих, що проживають на території України на законних підставах); </w:t>
            </w:r>
          </w:p>
          <w:p>
            <w:pPr>
              <w:spacing w:after="0" w:line="240" w:lineRule="auto"/>
              <w:ind w:left="0" w:leftChars="0" w:right="0" w:firstLine="0" w:firstLineChars="0"/>
              <w:jc w:val="left"/>
              <w:rPr>
                <w:color w:val="auto"/>
                <w:sz w:val="20"/>
                <w:szCs w:val="20"/>
                <w:lang w:val="uk-UA"/>
              </w:rPr>
            </w:pPr>
            <w:r>
              <w:rPr>
                <w:color w:val="auto"/>
                <w:sz w:val="20"/>
                <w:szCs w:val="20"/>
                <w:lang w:val="uk-UA"/>
              </w:rPr>
              <w:t>юридичних осіб, утворених та зареєстрованих відповідно до законодавства Російської Федерації/Республіки Білорусь</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color w:val="auto"/>
                <w:sz w:val="20"/>
                <w:szCs w:val="20"/>
                <w:lang w:val="uk-UA"/>
              </w:rPr>
              <w:t xml:space="preserve">; </w:t>
            </w:r>
          </w:p>
          <w:p>
            <w:pPr>
              <w:spacing w:after="0" w:line="240" w:lineRule="auto"/>
              <w:ind w:left="0" w:leftChars="0" w:right="-66" w:firstLine="240" w:firstLineChars="120"/>
              <w:jc w:val="both"/>
              <w:rPr>
                <w:color w:val="auto"/>
                <w:sz w:val="20"/>
                <w:szCs w:val="20"/>
                <w:lang w:val="uk-UA"/>
              </w:rPr>
            </w:pPr>
            <w:r>
              <w:rPr>
                <w:color w:val="auto"/>
                <w:sz w:val="20"/>
                <w:szCs w:val="20"/>
                <w:lang w:val="uk-UA"/>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hint="default"/>
                <w:color w:val="auto"/>
                <w:sz w:val="20"/>
                <w:szCs w:val="20"/>
                <w:lang w:val="uk"/>
              </w:rPr>
              <w:t>/І</w:t>
            </w:r>
            <w:r>
              <w:rPr>
                <w:rFonts w:hint="default" w:ascii="Times New Roman" w:hAnsi="Times New Roman" w:eastAsia="宋体" w:cs="Times New Roman"/>
                <w:i w:val="0"/>
                <w:caps w:val="0"/>
                <w:color w:val="333333"/>
                <w:spacing w:val="0"/>
                <w:kern w:val="0"/>
                <w:sz w:val="20"/>
                <w:szCs w:val="20"/>
                <w:shd w:val="clear" w:fill="FFFFFF"/>
                <w:lang w:val="en-US" w:eastAsia="zh-CN" w:bidi="ar"/>
              </w:rPr>
              <w:t>сламська Республіка Іран</w:t>
            </w:r>
            <w:r>
              <w:rPr>
                <w:color w:val="auto"/>
                <w:sz w:val="20"/>
                <w:szCs w:val="20"/>
                <w:lang w:val="uk-UA"/>
              </w:rPr>
              <w:t>, громадянин Російської Федерації/Республіки Білорусь</w:t>
            </w:r>
            <w:r>
              <w:rPr>
                <w:rFonts w:hint="default"/>
                <w:color w:val="auto"/>
                <w:sz w:val="20"/>
                <w:szCs w:val="2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color w:val="auto"/>
                <w:sz w:val="20"/>
                <w:szCs w:val="2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hint="default"/>
                <w:color w:val="auto"/>
                <w:sz w:val="20"/>
                <w:szCs w:val="2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color w:val="auto"/>
                <w:sz w:val="20"/>
                <w:szCs w:val="20"/>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after="0" w:line="240" w:lineRule="auto"/>
              <w:ind w:left="0" w:leftChars="0" w:right="-66" w:firstLine="240" w:firstLineChars="120"/>
              <w:jc w:val="both"/>
              <w:rPr>
                <w:color w:val="auto"/>
                <w:sz w:val="20"/>
                <w:szCs w:val="20"/>
                <w:lang w:val="uk-UA"/>
              </w:rPr>
            </w:pPr>
          </w:p>
          <w:p>
            <w:pPr>
              <w:spacing w:after="0" w:line="240" w:lineRule="auto"/>
              <w:ind w:left="0" w:leftChars="0" w:right="-66" w:firstLine="240" w:firstLineChars="120"/>
              <w:jc w:val="both"/>
              <w:rPr>
                <w:color w:val="auto"/>
                <w:sz w:val="20"/>
                <w:szCs w:val="20"/>
                <w:lang w:val="uk-UA"/>
              </w:rPr>
            </w:pPr>
            <w:r>
              <w:rPr>
                <w:color w:val="auto"/>
                <w:sz w:val="20"/>
                <w:szCs w:val="20"/>
                <w:lang w:val="uk-UA"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w:t>
            </w:r>
            <w:r>
              <w:rPr>
                <w:color w:val="auto"/>
                <w:sz w:val="20"/>
                <w:szCs w:val="20"/>
                <w:lang w:val="uk" w:eastAsia="uk-UA"/>
              </w:rPr>
              <w:t>у</w:t>
            </w:r>
            <w:r>
              <w:rPr>
                <w:color w:val="auto"/>
                <w:sz w:val="20"/>
                <w:szCs w:val="20"/>
                <w:lang w:val="uk-UA" w:eastAsia="uk-UA"/>
              </w:rPr>
              <w:t xml:space="preserve">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w:t>
            </w:r>
            <w:r>
              <w:rPr>
                <w:color w:val="auto"/>
                <w:sz w:val="20"/>
                <w:szCs w:val="20"/>
                <w:lang w:val="uk-UA"/>
              </w:rPr>
              <w:t>об'єднання юридичних осіб - нерезидентів без створення окремої юридичної особи).</w:t>
            </w:r>
          </w:p>
          <w:p>
            <w:pPr>
              <w:spacing w:after="0" w:line="240" w:lineRule="auto"/>
              <w:ind w:right="-66" w:firstLine="300" w:firstLineChars="150"/>
              <w:jc w:val="both"/>
              <w:rPr>
                <w:color w:val="auto"/>
                <w:sz w:val="20"/>
                <w:szCs w:val="20"/>
              </w:rPr>
            </w:pPr>
            <w:r>
              <w:rPr>
                <w:color w:val="auto"/>
                <w:sz w:val="20"/>
                <w:szCs w:val="20"/>
                <w:lang w:val="uk-UA"/>
              </w:rPr>
              <w:t>Учасник, яким не дотримані вимоги цього пункту 5 вважається таким, що не відповідає встановленим абзацом першим частини третьої статті 22 Закону вимогам до учасника відповідно до законодавства</w:t>
            </w:r>
            <w:r>
              <w:rPr>
                <w:rFonts w:hint="default"/>
                <w:color w:val="auto"/>
                <w:sz w:val="20"/>
                <w:szCs w:val="20"/>
                <w:lang w:val="uk"/>
              </w:rPr>
              <w:t>. Т</w:t>
            </w:r>
            <w:r>
              <w:rPr>
                <w:color w:val="auto"/>
                <w:sz w:val="20"/>
                <w:szCs w:val="20"/>
                <w:lang w:val="uk-UA"/>
              </w:rPr>
              <w:t>ендерна пропозиція такого Учасника підлягає відхиленню на підставі абзацу 5 підпункту 2 пункту 44 Особливостей.</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6.</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spacing w:after="0" w:line="240" w:lineRule="auto"/>
              <w:rPr>
                <w:b/>
                <w:bCs/>
                <w:color w:val="auto"/>
                <w:sz w:val="20"/>
                <w:szCs w:val="20"/>
              </w:rPr>
            </w:pPr>
            <w:r>
              <w:rPr>
                <w:b/>
                <w:bCs/>
                <w:color w:val="auto"/>
                <w:sz w:val="20"/>
                <w:szCs w:val="20"/>
              </w:rPr>
              <w:t>Інформація про валюту, у якій повинно бути розраховано та зазначено ціну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auto"/>
                <w:sz w:val="20"/>
                <w:szCs w:val="20"/>
              </w:rPr>
            </w:pPr>
            <w:r>
              <w:rPr>
                <w:color w:val="000000"/>
                <w:sz w:val="20"/>
                <w:szCs w:val="20"/>
              </w:rPr>
              <w:t>Валютою тендерної пропозиції є гривня.</w:t>
            </w:r>
            <w:r>
              <w:rPr>
                <w:rStyle w:val="144"/>
                <w:color w:val="000000"/>
                <w:sz w:val="20"/>
                <w:szCs w:val="20"/>
              </w:rPr>
              <w:t xml:space="preserve"> </w:t>
            </w:r>
            <w:r>
              <w:rPr>
                <w:rStyle w:val="148"/>
                <w:color w:val="000000"/>
                <w:sz w:val="20"/>
                <w:szCs w:val="2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rPr>
                <w:b/>
                <w:bCs/>
                <w:color w:val="auto"/>
                <w:sz w:val="20"/>
                <w:szCs w:val="20"/>
              </w:rPr>
            </w:pPr>
            <w:r>
              <w:rPr>
                <w:b/>
                <w:bCs/>
                <w:color w:val="auto"/>
                <w:sz w:val="20"/>
                <w:szCs w:val="20"/>
              </w:rPr>
              <w:t>7.</w:t>
            </w:r>
          </w:p>
        </w:tc>
        <w:tc>
          <w:tcPr>
            <w:tcW w:w="2394" w:type="dxa"/>
            <w:tcBorders>
              <w:top w:val="thickThinSmallGap" w:color="C0C0C0" w:sz="12" w:space="0"/>
              <w:left w:val="thickThinSmallGap" w:color="C0C0C0" w:sz="12" w:space="0"/>
              <w:bottom w:val="thickThinSmallGap" w:color="C0C0C0" w:sz="12" w:space="0"/>
            </w:tcBorders>
            <w:shd w:val="clear" w:color="auto" w:fill="auto"/>
          </w:tcPr>
          <w:p>
            <w:pPr>
              <w:spacing w:after="0"/>
              <w:rPr>
                <w:b/>
                <w:bCs/>
                <w:color w:val="auto"/>
                <w:sz w:val="20"/>
                <w:szCs w:val="20"/>
              </w:rPr>
            </w:pPr>
            <w:r>
              <w:rPr>
                <w:b/>
                <w:bCs/>
                <w:color w:val="auto"/>
                <w:sz w:val="20"/>
                <w:szCs w:val="20"/>
              </w:rPr>
              <w:t>Інформація про мову (мови), якою (якими) повинно бути складено тендерні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pStyle w:val="195"/>
              <w:keepNext w:val="0"/>
              <w:keepLines w:val="0"/>
              <w:pageBreakBefore w:val="0"/>
              <w:widowControl/>
              <w:shd w:val="clear" w:color="auto" w:fill="FFFFFF" w:themeFill="background1"/>
              <w:tabs>
                <w:tab w:val="left" w:pos="916"/>
                <w:tab w:val="left" w:pos="1832"/>
                <w:tab w:val="left" w:pos="2748"/>
                <w:tab w:val="left" w:pos="2977"/>
                <w:tab w:val="left" w:pos="3664"/>
                <w:tab w:val="left" w:pos="4580"/>
                <w:tab w:val="left" w:pos="5496"/>
                <w:tab w:val="left" w:pos="6413"/>
                <w:tab w:val="left" w:pos="7314"/>
                <w:tab w:val="left" w:pos="8245"/>
                <w:tab w:val="left" w:pos="9161"/>
                <w:tab w:val="left" w:pos="10077"/>
                <w:tab w:val="left" w:pos="10993"/>
                <w:tab w:val="left" w:pos="11909"/>
                <w:tab w:val="left" w:pos="12826"/>
                <w:tab w:val="left" w:pos="13741"/>
                <w:tab w:val="left" w:pos="14658"/>
              </w:tabs>
              <w:kinsoku/>
              <w:wordWrap/>
              <w:overflowPunct/>
              <w:topLinePunct w:val="0"/>
              <w:autoSpaceDE/>
              <w:autoSpaceDN/>
              <w:bidi w:val="0"/>
              <w:adjustRightInd/>
              <w:snapToGrid/>
              <w:spacing w:beforeAutospacing="0" w:after="0" w:afterAutospacing="0" w:line="260" w:lineRule="auto"/>
              <w:ind w:left="0" w:leftChars="0" w:firstLine="240" w:firstLineChars="120"/>
              <w:jc w:val="both"/>
              <w:textAlignment w:val="auto"/>
              <w:rPr>
                <w:color w:val="auto"/>
                <w:sz w:val="20"/>
                <w:szCs w:val="20"/>
                <w:highlight w:val="white"/>
                <w:lang w:val="uk-UA"/>
              </w:rPr>
            </w:pPr>
            <w:r>
              <w:rPr>
                <w:color w:val="000000"/>
                <w:sz w:val="20"/>
                <w:szCs w:val="20"/>
                <w:highlight w:val="white"/>
                <w:lang w:val="uk-UA"/>
              </w:rPr>
              <w:t>Мова тендерної пропозиції українська.</w:t>
            </w:r>
          </w:p>
          <w:p>
            <w:pPr>
              <w:keepNext w:val="0"/>
              <w:keepLines w:val="0"/>
              <w:pageBreakBefore w:val="0"/>
              <w:widowControl/>
              <w:kinsoku/>
              <w:wordWrap/>
              <w:overflowPunct/>
              <w:topLinePunct w:val="0"/>
              <w:autoSpaceDE/>
              <w:autoSpaceDN/>
              <w:bidi w:val="0"/>
              <w:adjustRightInd/>
              <w:snapToGrid/>
              <w:spacing w:after="0" w:line="260" w:lineRule="auto"/>
              <w:ind w:left="0" w:leftChars="0" w:firstLine="240" w:firstLineChars="120"/>
              <w:jc w:val="both"/>
              <w:textAlignment w:val="auto"/>
              <w:rPr>
                <w:rFonts w:hint="default" w:ascii="Times New Roman" w:hAnsi="Times New Roman" w:cs="Times New Roman"/>
                <w:color w:val="auto"/>
                <w:sz w:val="20"/>
                <w:szCs w:val="20"/>
              </w:rPr>
            </w:pPr>
            <w:r>
              <w:rPr>
                <w:rFonts w:hint="default" w:cs="Times New Roman"/>
                <w:color w:val="auto"/>
                <w:sz w:val="20"/>
                <w:szCs w:val="20"/>
                <w:lang w:val="uk-UA"/>
              </w:rPr>
              <w:t>Т</w:t>
            </w:r>
            <w:r>
              <w:rPr>
                <w:rFonts w:hint="default" w:ascii="Times New Roman" w:hAnsi="Times New Roman" w:cs="Times New Roman"/>
                <w:color w:val="auto"/>
                <w:sz w:val="20"/>
                <w:szCs w:val="20"/>
              </w:rPr>
              <w:t>ендерна пропозиція та усі документи, які передбачені вимогами тендерної документації та додатками до неї складаються українською мовою.</w:t>
            </w:r>
          </w:p>
          <w:p>
            <w:pPr>
              <w:spacing w:after="0"/>
              <w:ind w:left="0" w:leftChars="0" w:firstLine="240" w:firstLineChars="1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hint="default" w:ascii="Times New Roman" w:hAnsi="Times New Roman" w:cs="Times New Roman"/>
                <w:color w:val="auto"/>
                <w:sz w:val="20"/>
                <w:szCs w:val="20"/>
                <w:lang w:val="uk-UA"/>
              </w:rPr>
              <w:t>Інтернет</w:t>
            </w:r>
            <w:r>
              <w:rPr>
                <w:rFonts w:hint="default" w:ascii="Times New Roman" w:hAnsi="Times New Roman" w:cs="Times New Roman"/>
                <w:color w:val="auto"/>
                <w:sz w:val="20"/>
                <w:szCs w:val="20"/>
              </w:rPr>
              <w:t xml:space="preserve">, адреси електронної пошти, торговельної марки (знаку для товарів та послуг), загальноприйняті міжнародні терміни). </w:t>
            </w:r>
          </w:p>
          <w:p>
            <w:pPr>
              <w:widowControl w:val="0"/>
              <w:spacing w:after="0" w:line="240" w:lineRule="auto"/>
              <w:ind w:left="0" w:leftChars="0" w:firstLine="240" w:firstLineChars="120"/>
              <w:jc w:val="both"/>
              <w:rPr>
                <w:rFonts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0"/>
                <w:szCs w:val="20"/>
                <w:rtl w:val="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hint="default" w:ascii="Times New Roman" w:hAnsi="Times New Roman" w:eastAsia="Times New Roman" w:cs="Times New Roman"/>
                <w:color w:val="auto"/>
                <w:sz w:val="20"/>
                <w:szCs w:val="20"/>
                <w:rtl w:val="0"/>
              </w:rPr>
              <w:t>українською мовою</w:t>
            </w:r>
            <w:r>
              <w:rPr>
                <w:rFonts w:hint="default" w:ascii="Times New Roman" w:hAnsi="Times New Roman" w:eastAsia="Times New Roman" w:cs="Times New Roman"/>
                <w:color w:val="000000"/>
                <w:sz w:val="20"/>
                <w:szCs w:val="20"/>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0" w:leftChars="0" w:firstLine="240" w:firstLineChars="120"/>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Виключення:</w:t>
            </w:r>
          </w:p>
          <w:p>
            <w:pPr>
              <w:widowControl w:val="0"/>
              <w:numPr>
                <w:ilvl w:val="0"/>
                <w:numId w:val="2"/>
              </w:numPr>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color w:val="auto"/>
                <w:sz w:val="20"/>
                <w:szCs w:val="20"/>
                <w:rtl w:val="0"/>
              </w:rPr>
              <w:t>у</w:t>
            </w:r>
            <w:r>
              <w:rPr>
                <w:rFonts w:ascii="Times New Roman" w:hAnsi="Times New Roman" w:eastAsia="Times New Roman" w:cs="Times New Roman"/>
                <w:color w:val="000000"/>
                <w:sz w:val="20"/>
                <w:szCs w:val="20"/>
                <w:rtl w:val="0"/>
              </w:rPr>
              <w:t xml:space="preserve"> тому числі якщо такі документи надані іноземною мовою без перекладу. </w:t>
            </w:r>
          </w:p>
          <w:p>
            <w:pPr>
              <w:spacing w:after="0"/>
              <w:ind w:left="0" w:leftChars="0" w:firstLine="240" w:firstLineChars="120"/>
              <w:jc w:val="both"/>
              <w:rPr>
                <w:color w:val="FF0000"/>
                <w:sz w:val="20"/>
                <w:szCs w:val="20"/>
              </w:rPr>
            </w:pPr>
            <w:r>
              <w:rPr>
                <w:rFonts w:ascii="Times New Roman" w:hAnsi="Times New Roman" w:eastAsia="Times New Roman" w:cs="Times New Roman"/>
                <w:color w:val="000000"/>
                <w:sz w:val="20"/>
                <w:szCs w:val="20"/>
                <w:rtl w:val="0"/>
              </w:rPr>
              <w:t>2.</w:t>
            </w:r>
            <w:r>
              <w:rPr>
                <w:rFonts w:hint="default" w:eastAsia="Times New Roman" w:cs="Times New Roman"/>
                <w:color w:val="000000"/>
                <w:sz w:val="20"/>
                <w:szCs w:val="20"/>
                <w:rtl w:val="0"/>
                <w:lang w:val="uk-UA"/>
              </w:rPr>
              <w:t xml:space="preserve"> </w:t>
            </w:r>
            <w:r>
              <w:rPr>
                <w:rFonts w:ascii="Times New Roman" w:hAnsi="Times New Roman" w:eastAsia="Times New Roman" w:cs="Times New Roman"/>
                <w:color w:val="auto"/>
                <w:sz w:val="20"/>
                <w:szCs w:val="20"/>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CellMar>
            <w:top w:w="0" w:type="dxa"/>
            <w:left w:w="78" w:type="dxa"/>
            <w:bottom w:w="0" w:type="dxa"/>
            <w:right w:w="108" w:type="dxa"/>
          </w:tblCellMar>
        </w:tblPrEx>
        <w:trPr>
          <w:trHeight w:val="491"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rPr>
                <w:b/>
                <w:bCs/>
                <w:color w:val="auto"/>
                <w:sz w:val="20"/>
                <w:szCs w:val="20"/>
              </w:rPr>
            </w:pPr>
            <w:r>
              <w:rPr>
                <w:b/>
                <w:bCs/>
                <w:color w:val="auto"/>
                <w:sz w:val="20"/>
                <w:szCs w:val="20"/>
              </w:rPr>
              <w:t>ІІ. Порядок унесення змін та надання роз'яснень до тендерної документації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Процедура надання роз'яснень щодо тендерної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right="-66" w:firstLine="240" w:firstLineChars="120"/>
              <w:jc w:val="both"/>
              <w:rPr>
                <w:color w:val="auto"/>
                <w:sz w:val="20"/>
                <w:szCs w:val="20"/>
              </w:rPr>
            </w:pPr>
            <w:r>
              <w:rPr>
                <w:color w:val="auto"/>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bCs/>
                <w:color w:val="auto"/>
                <w:sz w:val="20"/>
                <w:szCs w:val="20"/>
              </w:rPr>
              <w:t>протягом трьох днів</w:t>
            </w:r>
            <w:r>
              <w:rPr>
                <w:color w:val="auto"/>
                <w:sz w:val="20"/>
                <w:szCs w:val="20"/>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ind w:left="0" w:leftChars="0" w:right="-66" w:firstLine="240" w:firstLineChars="120"/>
              <w:jc w:val="both"/>
              <w:rPr>
                <w:color w:val="auto"/>
                <w:sz w:val="20"/>
                <w:szCs w:val="20"/>
              </w:rPr>
            </w:pPr>
            <w:bookmarkStart w:id="1" w:name="n1441"/>
            <w:bookmarkEnd w:id="1"/>
            <w:bookmarkStart w:id="2" w:name="n1440"/>
            <w:bookmarkEnd w:id="2"/>
            <w:bookmarkStart w:id="3" w:name="n1439"/>
            <w:bookmarkEnd w:id="3"/>
            <w:r>
              <w:rPr>
                <w:color w:val="auto"/>
                <w:sz w:val="20"/>
                <w:szCs w:val="20"/>
              </w:rPr>
              <w:t>У разі несвоєчасного надання замовником роз’яснень щодо змісту тендерної документації електронна система закупівель автоматично</w:t>
            </w:r>
            <w:r>
              <w:rPr>
                <w:color w:val="FF0000"/>
                <w:sz w:val="20"/>
                <w:szCs w:val="20"/>
              </w:rPr>
              <w:t xml:space="preserve"> </w:t>
            </w:r>
            <w:r>
              <w:rPr>
                <w:color w:val="auto"/>
                <w:sz w:val="20"/>
                <w:szCs w:val="20"/>
              </w:rPr>
              <w:t xml:space="preserve">зупиняє перебіг </w:t>
            </w:r>
            <w:r>
              <w:rPr>
                <w:color w:val="auto"/>
                <w:sz w:val="20"/>
                <w:szCs w:val="20"/>
                <w:lang w:val="uk-UA"/>
              </w:rPr>
              <w:t>відкритих</w:t>
            </w:r>
            <w:r>
              <w:rPr>
                <w:rFonts w:hint="default"/>
                <w:color w:val="auto"/>
                <w:sz w:val="20"/>
                <w:szCs w:val="20"/>
                <w:lang w:val="uk-UA"/>
              </w:rPr>
              <w:t xml:space="preserve"> торгів</w:t>
            </w:r>
            <w:r>
              <w:rPr>
                <w:color w:val="auto"/>
                <w:sz w:val="20"/>
                <w:szCs w:val="20"/>
              </w:rPr>
              <w:t>.</w:t>
            </w:r>
          </w:p>
          <w:p>
            <w:pPr>
              <w:spacing w:after="0" w:line="240" w:lineRule="auto"/>
              <w:ind w:left="0" w:leftChars="0" w:right="-66" w:firstLine="240" w:firstLineChars="120"/>
              <w:jc w:val="both"/>
              <w:rPr>
                <w:color w:val="262626" w:themeColor="text1" w:themeTint="D9"/>
                <w:sz w:val="20"/>
                <w:szCs w:val="20"/>
                <w14:textFill>
                  <w14:solidFill>
                    <w14:schemeClr w14:val="tx1">
                      <w14:lumMod w14:val="85000"/>
                      <w14:lumOff w14:val="15000"/>
                    </w14:schemeClr>
                  </w14:solidFill>
                </w14:textFill>
              </w:rPr>
            </w:pPr>
            <w:bookmarkStart w:id="4" w:name="n1442"/>
            <w:bookmarkEnd w:id="4"/>
            <w:r>
              <w:rPr>
                <w:color w:val="auto"/>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b/>
                <w:bCs/>
                <w:color w:val="auto"/>
                <w:sz w:val="20"/>
                <w:szCs w:val="20"/>
              </w:rPr>
              <w:t xml:space="preserve"> не менш як на чотири дні.</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000000"/>
                <w:sz w:val="20"/>
                <w:szCs w:val="20"/>
                <w:lang w:val="uk-UA"/>
              </w:rPr>
              <w:t>В</w:t>
            </w:r>
            <w:r>
              <w:rPr>
                <w:b/>
                <w:bCs/>
                <w:color w:val="000000"/>
                <w:sz w:val="20"/>
                <w:szCs w:val="20"/>
              </w:rPr>
              <w:t>несення з</w:t>
            </w:r>
            <w:r>
              <w:rPr>
                <w:b/>
                <w:bCs/>
                <w:color w:val="auto"/>
                <w:sz w:val="20"/>
                <w:szCs w:val="20"/>
              </w:rPr>
              <w:t>мін до тендерної документації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hd w:val="clear" w:color="auto" w:fill="FFFFFF"/>
              <w:tabs>
                <w:tab w:val="left" w:pos="2977"/>
              </w:tabs>
              <w:spacing w:after="0" w:line="240" w:lineRule="auto"/>
              <w:ind w:left="0" w:leftChars="0" w:right="-66" w:firstLine="240" w:firstLineChars="120"/>
              <w:jc w:val="both"/>
              <w:rPr>
                <w:color w:val="auto"/>
              </w:rPr>
            </w:pPr>
            <w:r>
              <w:rPr>
                <w:color w:val="auto"/>
                <w:sz w:val="20"/>
                <w:szCs w:val="20"/>
              </w:rPr>
              <w:t>Замовник має право з власної ініціативи або у разі усунення порушень</w:t>
            </w:r>
            <w:r>
              <w:rPr>
                <w:rFonts w:hint="default"/>
                <w:color w:val="auto"/>
                <w:sz w:val="20"/>
                <w:szCs w:val="20"/>
                <w:lang w:val="uk-UA"/>
              </w:rPr>
              <w:t xml:space="preserve"> вимог </w:t>
            </w:r>
            <w:r>
              <w:rPr>
                <w:color w:val="auto"/>
                <w:sz w:val="20"/>
                <w:szCs w:val="20"/>
              </w:rPr>
              <w:t xml:space="preserve"> законодавства у сфері публічних закупівель, викладених у висновку органу державного фінансового контролю відповідно до </w:t>
            </w:r>
            <w:r>
              <w:rPr>
                <w:color w:val="auto"/>
              </w:rPr>
              <w:fldChar w:fldCharType="begin"/>
            </w:r>
            <w:r>
              <w:rPr>
                <w:color w:val="auto"/>
              </w:rPr>
              <w:instrText xml:space="preserve"> HYPERLINK \l "n960" \t "Current Document" \h </w:instrText>
            </w:r>
            <w:r>
              <w:rPr>
                <w:color w:val="auto"/>
              </w:rPr>
              <w:fldChar w:fldCharType="separate"/>
            </w:r>
            <w:r>
              <w:rPr>
                <w:color w:val="auto"/>
                <w:sz w:val="20"/>
                <w:szCs w:val="20"/>
              </w:rPr>
              <w:t>статті 8</w:t>
            </w:r>
            <w:r>
              <w:rPr>
                <w:color w:val="auto"/>
                <w:sz w:val="20"/>
                <w:szCs w:val="20"/>
              </w:rPr>
              <w:fldChar w:fldCharType="end"/>
            </w:r>
            <w:r>
              <w:rPr>
                <w:color w:val="auto"/>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hint="default"/>
                <w:color w:val="auto"/>
                <w:sz w:val="20"/>
                <w:szCs w:val="20"/>
                <w:lang w:val="uk-UA"/>
              </w:rPr>
              <w:t xml:space="preserve">, </w:t>
            </w:r>
            <w:r>
              <w:rPr>
                <w:rFonts w:ascii="Times New Roman" w:hAnsi="Times New Roman" w:eastAsia="Times New Roman" w:cs="Times New Roman"/>
                <w:color w:val="auto"/>
                <w:sz w:val="20"/>
                <w:szCs w:val="20"/>
                <w:highlight w:val="white"/>
                <w:rtl w:val="0"/>
              </w:rPr>
              <w:t>а саме</w:t>
            </w:r>
            <w:r>
              <w:rPr>
                <w:rFonts w:hint="default" w:eastAsia="Times New Roman" w:cs="Times New Roman"/>
                <w:color w:val="auto"/>
                <w:sz w:val="20"/>
                <w:szCs w:val="20"/>
                <w:highlight w:val="white"/>
                <w:rtl w:val="0"/>
                <w:lang w:val="uk"/>
              </w:rPr>
              <w:t>,</w:t>
            </w:r>
            <w:r>
              <w:rPr>
                <w:rFonts w:ascii="Times New Roman" w:hAnsi="Times New Roman" w:eastAsia="Times New Roman" w:cs="Times New Roman"/>
                <w:color w:val="auto"/>
                <w:sz w:val="20"/>
                <w:szCs w:val="20"/>
                <w:highlight w:val="white"/>
                <w:rtl w:val="0"/>
              </w:rPr>
              <w:t xml:space="preserve"> в оголошенні про проведення відкритих торгів,</w:t>
            </w:r>
            <w:r>
              <w:rPr>
                <w:color w:val="auto"/>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b/>
                <w:color w:val="auto"/>
                <w:sz w:val="20"/>
                <w:szCs w:val="20"/>
              </w:rPr>
              <w:t xml:space="preserve">не менше </w:t>
            </w:r>
            <w:r>
              <w:rPr>
                <w:b/>
                <w:bCs/>
                <w:color w:val="auto"/>
                <w:sz w:val="20"/>
                <w:szCs w:val="20"/>
              </w:rPr>
              <w:t>чотирьох днів</w:t>
            </w:r>
            <w:r>
              <w:rPr>
                <w:color w:val="auto"/>
                <w:sz w:val="20"/>
                <w:szCs w:val="20"/>
              </w:rPr>
              <w:t>.</w:t>
            </w:r>
          </w:p>
          <w:p>
            <w:pPr>
              <w:widowControl w:val="0"/>
              <w:shd w:val="clear" w:color="auto" w:fill="FFFFFF"/>
              <w:tabs>
                <w:tab w:val="left" w:pos="2977"/>
              </w:tabs>
              <w:spacing w:after="0" w:line="240" w:lineRule="auto"/>
              <w:ind w:left="0" w:leftChars="0" w:right="-66"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auto"/>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hint="default"/>
                <w:color w:val="auto"/>
                <w:sz w:val="20"/>
                <w:szCs w:val="20"/>
                <w:lang w:val="uk-UA"/>
              </w:rPr>
              <w:t xml:space="preserve"> </w:t>
            </w:r>
            <w:r>
              <w:rPr>
                <w:color w:val="auto"/>
                <w:sz w:val="20"/>
                <w:szCs w:val="2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78" w:type="dxa"/>
            <w:bottom w:w="0" w:type="dxa"/>
            <w:right w:w="108" w:type="dxa"/>
          </w:tblCellMar>
        </w:tblPrEx>
        <w:trPr>
          <w:trHeight w:val="445"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ІІІ. Інструкція з підготовки тендерної пропозиції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Зміст і спосіб подання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color w:val="auto"/>
                <w:sz w:val="20"/>
                <w:szCs w:val="20"/>
                <w:highlight w:val="white"/>
                <w:rtl w:val="0"/>
              </w:rPr>
              <w:t xml:space="preserve">першої, четвертої, шостої та сьомої статті 26 Закону. </w:t>
            </w:r>
          </w:p>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color w:val="auto"/>
                <w:sz w:val="20"/>
                <w:szCs w:val="20"/>
              </w:rPr>
              <w:fldChar w:fldCharType="begin"/>
            </w:r>
            <w:r>
              <w:rPr>
                <w:color w:val="auto"/>
                <w:sz w:val="20"/>
                <w:szCs w:val="20"/>
              </w:rPr>
              <w:instrText xml:space="preserve"> HYPERLINK "https://zakon.rada.gov.ua/laws/show/922-19#n1261" \h </w:instrText>
            </w:r>
            <w:r>
              <w:rPr>
                <w:color w:val="auto"/>
                <w:sz w:val="20"/>
                <w:szCs w:val="20"/>
              </w:rPr>
              <w:fldChar w:fldCharType="separate"/>
            </w:r>
            <w:r>
              <w:rPr>
                <w:rFonts w:ascii="Times New Roman" w:hAnsi="Times New Roman" w:eastAsia="Times New Roman" w:cs="Times New Roman"/>
                <w:color w:val="auto"/>
                <w:sz w:val="20"/>
                <w:szCs w:val="20"/>
                <w:highlight w:val="white"/>
                <w:rtl w:val="0"/>
              </w:rPr>
              <w:t>пункті 47</w:t>
            </w:r>
            <w:r>
              <w:rPr>
                <w:rFonts w:ascii="Times New Roman" w:hAnsi="Times New Roman" w:eastAsia="Times New Roman" w:cs="Times New Roman"/>
                <w:color w:val="auto"/>
                <w:sz w:val="20"/>
                <w:szCs w:val="20"/>
                <w:highlight w:val="white"/>
                <w:rtl w:val="0"/>
              </w:rPr>
              <w:fldChar w:fldCharType="end"/>
            </w:r>
            <w:r>
              <w:rPr>
                <w:rFonts w:ascii="Times New Roman" w:hAnsi="Times New Roman" w:eastAsia="Times New Roman" w:cs="Times New Roman"/>
                <w:color w:val="auto"/>
                <w:sz w:val="20"/>
                <w:szCs w:val="20"/>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0"/>
              </w:numPr>
              <w:tabs>
                <w:tab w:val="left" w:pos="240"/>
              </w:tabs>
              <w:spacing w:after="0" w:line="240" w:lineRule="auto"/>
              <w:ind w:left="0" w:leftChars="0" w:firstLine="240" w:firstLineChars="120"/>
              <w:jc w:val="both"/>
              <w:rPr>
                <w:color w:val="auto"/>
                <w:sz w:val="20"/>
                <w:szCs w:val="20"/>
              </w:rPr>
            </w:pPr>
            <w:r>
              <w:rPr>
                <w:rFonts w:hint="default"/>
                <w:color w:val="auto"/>
                <w:sz w:val="20"/>
                <w:szCs w:val="20"/>
                <w:lang w:val="uk-UA"/>
              </w:rPr>
              <w:t>1)</w:t>
            </w:r>
            <w:r>
              <w:rPr>
                <w:color w:val="auto"/>
                <w:sz w:val="20"/>
                <w:szCs w:val="20"/>
              </w:rPr>
              <w:t>Інформації</w:t>
            </w:r>
            <w:r>
              <w:rPr>
                <w:rFonts w:hint="default"/>
                <w:color w:val="auto"/>
                <w:sz w:val="20"/>
                <w:szCs w:val="20"/>
                <w:lang w:val="uk-UA"/>
              </w:rPr>
              <w:t xml:space="preserve"> та документів </w:t>
            </w:r>
            <w:r>
              <w:rPr>
                <w:color w:val="auto"/>
                <w:sz w:val="20"/>
                <w:szCs w:val="20"/>
              </w:rPr>
              <w:t>що підтверджу</w:t>
            </w:r>
            <w:r>
              <w:rPr>
                <w:color w:val="auto"/>
                <w:sz w:val="20"/>
                <w:szCs w:val="20"/>
                <w:lang w:val="uk-UA"/>
              </w:rPr>
              <w:t>ють</w:t>
            </w:r>
            <w:r>
              <w:rPr>
                <w:color w:val="auto"/>
                <w:sz w:val="20"/>
                <w:szCs w:val="20"/>
              </w:rPr>
              <w:t xml:space="preserve"> відповідність учасника кваліфікаційним (кваліфікаційному) критеріям</w:t>
            </w:r>
            <w:r>
              <w:rPr>
                <w:rFonts w:hint="default"/>
                <w:color w:val="auto"/>
                <w:sz w:val="20"/>
                <w:szCs w:val="20"/>
                <w:lang w:val="uk-UA"/>
              </w:rPr>
              <w:t xml:space="preserve"> </w:t>
            </w:r>
            <w:r>
              <w:rPr>
                <w:color w:val="auto"/>
                <w:sz w:val="20"/>
                <w:szCs w:val="20"/>
              </w:rPr>
              <w:t xml:space="preserve"> – </w:t>
            </w:r>
            <w:r>
              <w:rPr>
                <w:bCs/>
                <w:iCs/>
                <w:color w:val="auto"/>
                <w:sz w:val="20"/>
                <w:szCs w:val="20"/>
              </w:rPr>
              <w:t>згідно</w:t>
            </w:r>
            <w:r>
              <w:rPr>
                <w:color w:val="auto"/>
                <w:sz w:val="20"/>
                <w:szCs w:val="20"/>
              </w:rPr>
              <w:t xml:space="preserve"> </w:t>
            </w:r>
            <w:r>
              <w:rPr>
                <w:b/>
                <w:bCs/>
                <w:iCs/>
                <w:color w:val="auto"/>
                <w:sz w:val="20"/>
                <w:szCs w:val="20"/>
              </w:rPr>
              <w:t>Додатку 1</w:t>
            </w:r>
            <w:r>
              <w:rPr>
                <w:color w:val="auto"/>
                <w:sz w:val="20"/>
                <w:szCs w:val="20"/>
              </w:rPr>
              <w:t>;</w:t>
            </w:r>
          </w:p>
          <w:p>
            <w:pPr>
              <w:numPr>
                <w:ilvl w:val="0"/>
                <w:numId w:val="0"/>
              </w:numPr>
              <w:shd w:val="clear"/>
              <w:tabs>
                <w:tab w:val="left" w:pos="240"/>
              </w:tabs>
              <w:spacing w:after="0" w:line="240" w:lineRule="auto"/>
              <w:ind w:left="0" w:leftChars="0" w:firstLine="240" w:firstLineChars="120"/>
              <w:jc w:val="both"/>
              <w:rPr>
                <w:rFonts w:hint="default"/>
                <w:color w:val="auto"/>
                <w:sz w:val="20"/>
                <w:szCs w:val="20"/>
                <w:highlight w:val="none"/>
                <w:lang w:val="uk-UA"/>
              </w:rPr>
            </w:pPr>
            <w:r>
              <w:rPr>
                <w:rFonts w:hint="default"/>
                <w:color w:val="auto"/>
                <w:sz w:val="20"/>
                <w:szCs w:val="20"/>
                <w:lang w:val="uk-UA"/>
              </w:rPr>
              <w:t>2)</w:t>
            </w:r>
            <w:r>
              <w:rPr>
                <w:color w:val="auto"/>
                <w:sz w:val="20"/>
                <w:szCs w:val="20"/>
                <w:lang w:val="uk-UA"/>
              </w:rPr>
              <w:t>Документів</w:t>
            </w:r>
            <w:r>
              <w:rPr>
                <w:rFonts w:hint="default"/>
                <w:color w:val="auto"/>
                <w:sz w:val="20"/>
                <w:szCs w:val="20"/>
                <w:lang w:val="uk-UA"/>
              </w:rPr>
              <w:t xml:space="preserve">, що підтверджують повноваження щодо підпису документів </w:t>
            </w:r>
            <w:r>
              <w:rPr>
                <w:rFonts w:hint="default"/>
                <w:color w:val="auto"/>
                <w:sz w:val="20"/>
                <w:szCs w:val="20"/>
                <w:highlight w:val="none"/>
                <w:lang w:val="uk-UA"/>
              </w:rPr>
              <w:t xml:space="preserve">тендерної пропозиції (згідно </w:t>
            </w:r>
            <w:r>
              <w:rPr>
                <w:rFonts w:hint="default"/>
                <w:b/>
                <w:bCs/>
                <w:color w:val="auto"/>
                <w:sz w:val="20"/>
                <w:szCs w:val="20"/>
                <w:highlight w:val="none"/>
                <w:lang w:val="uk-UA"/>
              </w:rPr>
              <w:t>Додатку 1</w:t>
            </w:r>
            <w:r>
              <w:rPr>
                <w:rFonts w:hint="default"/>
                <w:color w:val="auto"/>
                <w:sz w:val="20"/>
                <w:szCs w:val="20"/>
                <w:highlight w:val="none"/>
                <w:lang w:val="uk-UA"/>
              </w:rPr>
              <w:t>);</w:t>
            </w:r>
          </w:p>
          <w:p>
            <w:pPr>
              <w:numPr>
                <w:ilvl w:val="0"/>
                <w:numId w:val="0"/>
              </w:numPr>
              <w:shd w:val="clea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3)</w:t>
            </w:r>
            <w:r>
              <w:rPr>
                <w:color w:val="auto"/>
                <w:sz w:val="20"/>
                <w:szCs w:val="20"/>
                <w:highlight w:val="none"/>
                <w:lang w:val="uk-UA"/>
              </w:rPr>
              <w:t>інформації щодо наявності/відсутності підстав,  визначених пунктом 47 Особливостей</w:t>
            </w:r>
            <w:r>
              <w:rPr>
                <w:color w:val="auto"/>
                <w:sz w:val="20"/>
                <w:szCs w:val="20"/>
                <w:highlight w:val="none"/>
              </w:rPr>
              <w:t xml:space="preserve"> – згідно</w:t>
            </w:r>
            <w:r>
              <w:rPr>
                <w:b/>
                <w:color w:val="auto"/>
                <w:sz w:val="20"/>
                <w:szCs w:val="20"/>
                <w:highlight w:val="none"/>
              </w:rPr>
              <w:t xml:space="preserve"> Додатку 2</w:t>
            </w:r>
            <w:r>
              <w:rPr>
                <w:color w:val="auto"/>
                <w:sz w:val="20"/>
                <w:szCs w:val="20"/>
                <w:highlight w:val="none"/>
              </w:rPr>
              <w:t xml:space="preserve">; </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4)</w:t>
            </w:r>
            <w:r>
              <w:rPr>
                <w:color w:val="auto"/>
                <w:sz w:val="20"/>
                <w:szCs w:val="20"/>
                <w:highlight w:val="none"/>
              </w:rPr>
              <w:t xml:space="preserve">інформації щодо погодження з вимогами: Технічної специфікації, шляхом надання учасником листа – гарантії </w:t>
            </w:r>
            <w:r>
              <w:rPr>
                <w:b/>
                <w:bCs/>
                <w:color w:val="auto"/>
                <w:sz w:val="20"/>
                <w:szCs w:val="20"/>
                <w:highlight w:val="none"/>
                <w:u w:val="single"/>
              </w:rPr>
              <w:t>в формі</w:t>
            </w:r>
            <w:r>
              <w:rPr>
                <w:color w:val="auto"/>
                <w:sz w:val="20"/>
                <w:szCs w:val="20"/>
                <w:highlight w:val="none"/>
              </w:rPr>
              <w:t xml:space="preserve"> - </w:t>
            </w:r>
            <w:r>
              <w:rPr>
                <w:bCs/>
                <w:iCs/>
                <w:color w:val="auto"/>
                <w:sz w:val="20"/>
                <w:szCs w:val="20"/>
                <w:highlight w:val="none"/>
              </w:rPr>
              <w:t>згідно</w:t>
            </w:r>
            <w:r>
              <w:rPr>
                <w:b/>
                <w:bCs/>
                <w:iCs/>
                <w:color w:val="auto"/>
                <w:sz w:val="20"/>
                <w:szCs w:val="20"/>
                <w:highlight w:val="none"/>
              </w:rPr>
              <w:t xml:space="preserve"> Додатку 4</w:t>
            </w:r>
            <w:r>
              <w:rPr>
                <w:b/>
                <w:bCs/>
                <w:i/>
                <w:iCs/>
                <w:color w:val="auto"/>
                <w:sz w:val="20"/>
                <w:szCs w:val="20"/>
                <w:highlight w:val="none"/>
              </w:rPr>
              <w:t xml:space="preserve"> </w:t>
            </w:r>
            <w:r>
              <w:rPr>
                <w:color w:val="auto"/>
                <w:sz w:val="20"/>
                <w:szCs w:val="20"/>
                <w:highlight w:val="none"/>
              </w:rPr>
              <w:t>до тендерної документації;</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5)</w:t>
            </w:r>
            <w:r>
              <w:rPr>
                <w:rFonts w:hint="default"/>
                <w:color w:val="auto"/>
                <w:sz w:val="20"/>
                <w:szCs w:val="20"/>
                <w:highlight w:val="none"/>
                <w:lang w:val="uk"/>
              </w:rPr>
              <w:t>цінової</w:t>
            </w:r>
            <w:r>
              <w:rPr>
                <w:color w:val="auto"/>
                <w:sz w:val="20"/>
                <w:szCs w:val="20"/>
                <w:highlight w:val="none"/>
              </w:rPr>
              <w:t xml:space="preserve"> пропозиції учасника - згідно наведеної форми в </w:t>
            </w:r>
            <w:r>
              <w:rPr>
                <w:b/>
                <w:bCs/>
                <w:color w:val="auto"/>
                <w:sz w:val="20"/>
                <w:szCs w:val="20"/>
                <w:highlight w:val="none"/>
              </w:rPr>
              <w:t>Додатку 5</w:t>
            </w:r>
            <w:r>
              <w:rPr>
                <w:color w:val="auto"/>
                <w:sz w:val="20"/>
                <w:szCs w:val="20"/>
                <w:highlight w:val="none"/>
              </w:rPr>
              <w:t xml:space="preserve">  до цієї тендерної документації;</w:t>
            </w:r>
          </w:p>
          <w:p>
            <w:pPr>
              <w:numPr>
                <w:ilvl w:val="0"/>
                <w:numId w:val="0"/>
              </w:numPr>
              <w:tabs>
                <w:tab w:val="left" w:pos="240"/>
              </w:tabs>
              <w:overflowPunct w:val="0"/>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eastAsia="ru-RU"/>
              </w:rPr>
              <w:t>6)</w:t>
            </w:r>
            <w:r>
              <w:rPr>
                <w:color w:val="auto"/>
                <w:sz w:val="20"/>
                <w:szCs w:val="20"/>
                <w:highlight w:val="none"/>
                <w:lang w:eastAsia="ru-RU"/>
              </w:rPr>
              <w:t xml:space="preserve">проєкту договору про закупівлю згідно </w:t>
            </w:r>
            <w:r>
              <w:rPr>
                <w:b/>
                <w:bCs/>
                <w:color w:val="auto"/>
                <w:sz w:val="20"/>
                <w:szCs w:val="20"/>
                <w:highlight w:val="none"/>
                <w:lang w:eastAsia="ru-RU"/>
              </w:rPr>
              <w:t xml:space="preserve">Додатку 6 </w:t>
            </w:r>
            <w:r>
              <w:rPr>
                <w:color w:val="auto"/>
                <w:sz w:val="20"/>
                <w:szCs w:val="20"/>
                <w:highlight w:val="none"/>
                <w:lang w:eastAsia="ru-RU"/>
              </w:rPr>
              <w:t>тендерної документації, скріплений підписом уповноваженої особи та завірений печаткою учасника</w:t>
            </w:r>
            <w:r>
              <w:rPr>
                <w:color w:val="auto"/>
                <w:sz w:val="20"/>
                <w:szCs w:val="20"/>
                <w:highlight w:val="none"/>
              </w:rPr>
              <w:t>;</w:t>
            </w:r>
          </w:p>
          <w:p>
            <w:pPr>
              <w:numPr>
                <w:ilvl w:val="0"/>
                <w:numId w:val="0"/>
              </w:numPr>
              <w:shd w:val="clea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7)</w:t>
            </w:r>
            <w:r>
              <w:rPr>
                <w:color w:val="auto"/>
                <w:sz w:val="20"/>
                <w:szCs w:val="20"/>
                <w:highlight w:val="none"/>
              </w:rPr>
              <w:t xml:space="preserve">інформації </w:t>
            </w:r>
            <w:r>
              <w:rPr>
                <w:color w:val="auto"/>
                <w:sz w:val="20"/>
                <w:szCs w:val="20"/>
                <w:highlight w:val="none"/>
                <w:lang w:val="uk-UA"/>
              </w:rPr>
              <w:t>щодо</w:t>
            </w:r>
            <w:r>
              <w:rPr>
                <w:color w:val="auto"/>
                <w:sz w:val="20"/>
                <w:szCs w:val="20"/>
                <w:highlight w:val="none"/>
              </w:rPr>
              <w:t xml:space="preserve"> кожно</w:t>
            </w:r>
            <w:r>
              <w:rPr>
                <w:color w:val="auto"/>
                <w:sz w:val="20"/>
                <w:szCs w:val="20"/>
                <w:highlight w:val="none"/>
                <w:lang w:val="uk-UA"/>
              </w:rPr>
              <w:t>го</w:t>
            </w:r>
            <w:r>
              <w:rPr>
                <w:color w:val="auto"/>
                <w:sz w:val="20"/>
                <w:szCs w:val="20"/>
                <w:highlight w:val="none"/>
              </w:rPr>
              <w:t xml:space="preserve"> субпідрядник</w:t>
            </w:r>
            <w:r>
              <w:rPr>
                <w:color w:val="auto"/>
                <w:sz w:val="20"/>
                <w:szCs w:val="20"/>
                <w:highlight w:val="none"/>
                <w:lang w:val="uk-UA"/>
              </w:rPr>
              <w:t>а</w:t>
            </w:r>
            <w:r>
              <w:rPr>
                <w:color w:val="auto"/>
                <w:sz w:val="20"/>
                <w:szCs w:val="20"/>
                <w:highlight w:val="none"/>
              </w:rPr>
              <w:t>/співвиконавц</w:t>
            </w:r>
            <w:r>
              <w:rPr>
                <w:color w:val="auto"/>
                <w:sz w:val="20"/>
                <w:szCs w:val="20"/>
                <w:highlight w:val="none"/>
                <w:lang w:val="uk-UA"/>
              </w:rPr>
              <w:t>я</w:t>
            </w:r>
            <w:r>
              <w:rPr>
                <w:rFonts w:hint="default"/>
                <w:color w:val="auto"/>
                <w:sz w:val="20"/>
                <w:szCs w:val="20"/>
                <w:highlight w:val="none"/>
                <w:lang w:val="uk-UA"/>
              </w:rPr>
              <w:t xml:space="preserve"> у разі залучення (відповідно до п.7 “Інформація про </w:t>
            </w:r>
            <w:r>
              <w:rPr>
                <w:color w:val="auto"/>
                <w:sz w:val="20"/>
                <w:szCs w:val="20"/>
                <w:highlight w:val="none"/>
              </w:rPr>
              <w:t>субпідрядник</w:t>
            </w:r>
            <w:r>
              <w:rPr>
                <w:color w:val="auto"/>
                <w:sz w:val="20"/>
                <w:szCs w:val="20"/>
                <w:highlight w:val="none"/>
                <w:lang w:val="uk-UA"/>
              </w:rPr>
              <w:t>а</w:t>
            </w:r>
            <w:r>
              <w:rPr>
                <w:color w:val="auto"/>
                <w:sz w:val="20"/>
                <w:szCs w:val="20"/>
                <w:highlight w:val="none"/>
              </w:rPr>
              <w:t>/співвиконавц</w:t>
            </w:r>
            <w:r>
              <w:rPr>
                <w:color w:val="auto"/>
                <w:sz w:val="20"/>
                <w:szCs w:val="20"/>
                <w:highlight w:val="none"/>
                <w:lang w:val="uk-UA"/>
              </w:rPr>
              <w:t>я</w:t>
            </w:r>
            <w:r>
              <w:rPr>
                <w:rFonts w:hint="default"/>
                <w:color w:val="auto"/>
                <w:sz w:val="20"/>
                <w:szCs w:val="20"/>
                <w:highlight w:val="none"/>
                <w:lang w:val="uk-UA"/>
              </w:rPr>
              <w:t xml:space="preserve"> даного розділу)</w:t>
            </w:r>
            <w:r>
              <w:rPr>
                <w:color w:val="auto"/>
                <w:sz w:val="20"/>
                <w:szCs w:val="20"/>
                <w:highlight w:val="none"/>
              </w:rPr>
              <w:t>;</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8)</w:t>
            </w:r>
            <w:r>
              <w:rPr>
                <w:color w:val="auto"/>
                <w:sz w:val="20"/>
                <w:szCs w:val="20"/>
                <w:highlight w:val="none"/>
              </w:rPr>
              <w:t>інформації щодо створення об’єднанням учасників (у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0"/>
              </w:numPr>
              <w:tabs>
                <w:tab w:val="left" w:pos="240"/>
              </w:tabs>
              <w:spacing w:after="0" w:line="240" w:lineRule="auto"/>
              <w:ind w:left="0" w:leftChars="0" w:firstLine="240" w:firstLineChars="120"/>
              <w:jc w:val="both"/>
              <w:rPr>
                <w:color w:val="auto"/>
                <w:sz w:val="20"/>
                <w:szCs w:val="20"/>
                <w:highlight w:val="none"/>
              </w:rPr>
            </w:pPr>
            <w:r>
              <w:rPr>
                <w:rFonts w:hint="default"/>
                <w:color w:val="auto"/>
                <w:sz w:val="20"/>
                <w:szCs w:val="20"/>
                <w:highlight w:val="none"/>
                <w:lang w:val="uk-UA"/>
              </w:rPr>
              <w:t>9)і</w:t>
            </w:r>
            <w:r>
              <w:rPr>
                <w:color w:val="auto"/>
                <w:sz w:val="20"/>
                <w:szCs w:val="20"/>
                <w:highlight w:val="none"/>
              </w:rPr>
              <w:t>нш</w:t>
            </w:r>
            <w:r>
              <w:rPr>
                <w:color w:val="auto"/>
                <w:sz w:val="20"/>
                <w:szCs w:val="20"/>
                <w:highlight w:val="none"/>
                <w:lang w:val="uk-UA"/>
              </w:rPr>
              <w:t>их</w:t>
            </w:r>
            <w:r>
              <w:rPr>
                <w:rFonts w:hint="default"/>
                <w:color w:val="auto"/>
                <w:sz w:val="20"/>
                <w:szCs w:val="20"/>
                <w:highlight w:val="none"/>
                <w:lang w:val="uk-UA"/>
              </w:rPr>
              <w:t xml:space="preserve"> документів, вказаних у тендерній документації.</w:t>
            </w:r>
          </w:p>
          <w:p>
            <w:pPr>
              <w:spacing w:after="0" w:line="240" w:lineRule="auto"/>
              <w:ind w:left="0" w:leftChars="0" w:firstLine="240" w:firstLineChars="120"/>
              <w:jc w:val="both"/>
              <w:rPr>
                <w:color w:val="auto"/>
                <w:sz w:val="20"/>
                <w:szCs w:val="20"/>
                <w:highlight w:val="none"/>
              </w:rPr>
            </w:pPr>
            <w:r>
              <w:rPr>
                <w:color w:val="auto"/>
                <w:sz w:val="20"/>
                <w:szCs w:val="20"/>
                <w:highlight w:val="none"/>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after="0" w:line="240" w:lineRule="auto"/>
              <w:ind w:left="0" w:leftChars="0" w:firstLine="240" w:firstLineChars="120"/>
              <w:jc w:val="both"/>
              <w:rPr>
                <w:color w:val="auto"/>
                <w:sz w:val="20"/>
                <w:szCs w:val="20"/>
                <w:highlight w:val="none"/>
              </w:rPr>
            </w:pPr>
            <w:r>
              <w:rPr>
                <w:iCs/>
                <w:color w:val="auto"/>
                <w:sz w:val="20"/>
                <w:szCs w:val="20"/>
                <w:highlight w:val="none"/>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Pr>
                <w:rFonts w:hint="default"/>
                <w:iCs/>
                <w:color w:val="auto"/>
                <w:sz w:val="20"/>
                <w:szCs w:val="20"/>
                <w:highlight w:val="none"/>
                <w:lang w:val="uk-UA" w:eastAsia="ru-RU"/>
              </w:rPr>
              <w:t xml:space="preserve"> </w:t>
            </w:r>
            <w:r>
              <w:rPr>
                <w:iCs/>
                <w:color w:val="auto"/>
                <w:sz w:val="20"/>
                <w:szCs w:val="20"/>
                <w:highlight w:val="none"/>
                <w:lang w:eastAsia="ru-RU"/>
              </w:rPr>
              <w:t>в електронній системі закупівель</w:t>
            </w:r>
            <w:r>
              <w:rPr>
                <w:rFonts w:hint="default"/>
                <w:iCs/>
                <w:color w:val="auto"/>
                <w:sz w:val="20"/>
                <w:szCs w:val="20"/>
                <w:highlight w:val="none"/>
                <w:lang w:val="uk-UA" w:eastAsia="ru-RU"/>
              </w:rPr>
              <w:t xml:space="preserve"> </w:t>
            </w:r>
            <w:r>
              <w:rPr>
                <w:bCs/>
                <w:iCs/>
                <w:color w:val="auto"/>
                <w:sz w:val="20"/>
                <w:szCs w:val="20"/>
                <w:highlight w:val="none"/>
              </w:rPr>
              <w:t xml:space="preserve">документи, встановлені в </w:t>
            </w:r>
            <w:r>
              <w:rPr>
                <w:b/>
                <w:bCs/>
                <w:iCs/>
                <w:color w:val="auto"/>
                <w:sz w:val="20"/>
                <w:szCs w:val="20"/>
                <w:highlight w:val="none"/>
              </w:rPr>
              <w:t>Додатку 3</w:t>
            </w:r>
            <w:r>
              <w:rPr>
                <w:bCs/>
                <w:iCs/>
                <w:color w:val="auto"/>
                <w:sz w:val="20"/>
                <w:szCs w:val="20"/>
                <w:highlight w:val="none"/>
              </w:rPr>
              <w:t xml:space="preserve"> (для переможця).</w:t>
            </w:r>
          </w:p>
          <w:p>
            <w:pPr>
              <w:spacing w:after="0" w:line="240" w:lineRule="auto"/>
              <w:jc w:val="both"/>
              <w:rPr>
                <w:color w:val="auto"/>
                <w:sz w:val="20"/>
                <w:szCs w:val="20"/>
                <w:highlight w:val="yellow"/>
              </w:rPr>
            </w:pPr>
          </w:p>
          <w:p>
            <w:pPr>
              <w:widowControl w:val="0"/>
              <w:spacing w:after="0" w:line="240" w:lineRule="auto"/>
              <w:jc w:val="both"/>
              <w:rPr>
                <w:rFonts w:ascii="Times New Roman" w:hAnsi="Times New Roman" w:eastAsia="Times New Roman" w:cs="Times New Roman"/>
                <w:b/>
                <w:i/>
                <w:sz w:val="20"/>
                <w:szCs w:val="20"/>
              </w:rPr>
            </w:pPr>
            <w:r>
              <w:rPr>
                <w:rFonts w:ascii="Times New Roman" w:hAnsi="Times New Roman" w:eastAsia="Times New Roman" w:cs="Times New Roman"/>
                <w:b/>
                <w:i/>
                <w:sz w:val="20"/>
                <w:szCs w:val="20"/>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0"/>
                <w:szCs w:val="20"/>
                <w:u w:val="single"/>
              </w:rPr>
            </w:pPr>
            <w:r>
              <w:rPr>
                <w:rFonts w:ascii="Times New Roman" w:hAnsi="Times New Roman" w:eastAsia="Times New Roman" w:cs="Times New Roman"/>
                <w:b/>
                <w:i/>
                <w:sz w:val="20"/>
                <w:szCs w:val="20"/>
                <w:u w:val="single"/>
                <w:rtl w:val="0"/>
              </w:rPr>
              <w:t>Опис формальних помилок:</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уживання великої літери;</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уживання розділових знаків та відмінювання слів у реченні;</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використання слова або мовного звороту, запозичених з іншої мови;</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hint="default" w:ascii="Times New Roman" w:hAnsi="Times New Roman" w:eastAsia="Times New Roman" w:cs="Times New Roman"/>
                <w:sz w:val="20"/>
                <w:szCs w:val="20"/>
                <w:rtl w:val="0"/>
                <w:lang w:val="uk-UA"/>
              </w:rPr>
              <w:t xml:space="preserve">- </w:t>
            </w:r>
            <w:r>
              <w:rPr>
                <w:rFonts w:ascii="Times New Roman" w:hAnsi="Times New Roman" w:eastAsia="Times New Roman" w:cs="Times New Roman"/>
                <w:sz w:val="20"/>
                <w:szCs w:val="20"/>
                <w:rtl w:val="0"/>
              </w:rPr>
              <w:t>помилка в цифрах;</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застосування правил переносу частини слова з рядка в рядок;</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написання слів разом та/або окремо, та/або через дефіс;</w:t>
            </w:r>
          </w:p>
          <w:p>
            <w:pPr>
              <w:widowControl w:val="0"/>
              <w:numPr>
                <w:ilvl w:val="0"/>
                <w:numId w:val="3"/>
              </w:numPr>
              <w:tabs>
                <w:tab w:val="left" w:pos="0"/>
                <w:tab w:val="clear" w:pos="420"/>
              </w:tabs>
              <w:spacing w:after="0" w:line="240" w:lineRule="auto"/>
              <w:ind w:left="420" w:hanging="4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6.</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7.</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8.</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tabs>
                <w:tab w:val="left" w:pos="24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9.</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10.</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11.</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tabs>
                <w:tab w:val="left" w:pos="240"/>
                <w:tab w:val="left" w:pos="480"/>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12.</w:t>
            </w:r>
            <w:r>
              <w:rPr>
                <w:rFonts w:ascii="Times New Roman" w:hAnsi="Times New Roman" w:eastAsia="Times New Roman" w:cs="Times New Roman"/>
                <w:sz w:val="20"/>
                <w:szCs w:val="20"/>
                <w:rtl w:val="0"/>
              </w:rPr>
              <w:tab/>
            </w:r>
            <w:r>
              <w:rPr>
                <w:rFonts w:ascii="Times New Roman" w:hAnsi="Times New Roman" w:eastAsia="Times New Roman" w:cs="Times New Roman"/>
                <w:sz w:val="20"/>
                <w:szCs w:val="20"/>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0"/>
                <w:szCs w:val="20"/>
                <w:u w:val="single"/>
              </w:rPr>
            </w:pPr>
            <w:r>
              <w:rPr>
                <w:rFonts w:ascii="Times New Roman" w:hAnsi="Times New Roman" w:eastAsia="Times New Roman" w:cs="Times New Roman"/>
                <w:b/>
                <w:i/>
                <w:sz w:val="20"/>
                <w:szCs w:val="20"/>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color w:val="auto"/>
                <w:sz w:val="20"/>
                <w:szCs w:val="20"/>
              </w:rPr>
            </w:pPr>
            <w:r>
              <w:rPr>
                <w:rFonts w:ascii="Times New Roman" w:hAnsi="Times New Roman" w:eastAsia="Times New Roman" w:cs="Times New Roman"/>
                <w:sz w:val="20"/>
                <w:szCs w:val="20"/>
                <w:rtl w:val="0"/>
              </w:rPr>
              <w:t>—  «м.київ» замість «м</w:t>
            </w:r>
            <w:r>
              <w:rPr>
                <w:rFonts w:ascii="Times New Roman" w:hAnsi="Times New Roman" w:eastAsia="Times New Roman" w:cs="Times New Roman"/>
                <w:color w:val="auto"/>
                <w:sz w:val="20"/>
                <w:szCs w:val="20"/>
                <w:rtl w:val="0"/>
              </w:rPr>
              <w:t>.Київ»;</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auto"/>
                <w:sz w:val="20"/>
                <w:szCs w:val="20"/>
                <w:rtl w:val="0"/>
              </w:rPr>
              <w:t>— «поряд -ок» замість «поря – д</w:t>
            </w:r>
            <w:r>
              <w:rPr>
                <w:rFonts w:ascii="Times New Roman" w:hAnsi="Times New Roman" w:eastAsia="Times New Roman" w:cs="Times New Roman"/>
                <w:sz w:val="20"/>
                <w:szCs w:val="20"/>
                <w:rtl w:val="0"/>
              </w:rPr>
              <w:t>ок»;</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«______________№_____________» замість «14.08.2020 №320/13/14-01»</w:t>
            </w:r>
          </w:p>
          <w:p>
            <w:pPr>
              <w:spacing w:after="0" w:line="240" w:lineRule="auto"/>
              <w:ind w:left="0" w:leftChars="0" w:firstLine="240" w:firstLineChars="120"/>
              <w:jc w:val="both"/>
              <w:rPr>
                <w:rFonts w:hint="default" w:ascii="Times New Roman" w:hAnsi="Times New Roman" w:eastAsia="Times New Roman" w:cs="Times New Roman"/>
                <w:sz w:val="20"/>
                <w:szCs w:val="20"/>
                <w:rtl w:val="0"/>
                <w:lang w:val="uk-UA"/>
              </w:rPr>
            </w:pPr>
            <w:r>
              <w:rPr>
                <w:rFonts w:ascii="Times New Roman" w:hAnsi="Times New Roman" w:eastAsia="Times New Roman" w:cs="Times New Roman"/>
                <w:sz w:val="20"/>
                <w:szCs w:val="20"/>
                <w:rtl w:val="0"/>
              </w:rPr>
              <w:t>— учасник розмістив (завантажив) документ у форматі «JPG» замість  документа у форматі «pdf» (PortableDocumentFormat)</w:t>
            </w:r>
            <w:r>
              <w:rPr>
                <w:rFonts w:hint="default" w:ascii="Times New Roman" w:hAnsi="Times New Roman" w:eastAsia="Times New Roman" w:cs="Times New Roman"/>
                <w:sz w:val="20"/>
                <w:szCs w:val="20"/>
                <w:rtl w:val="0"/>
                <w:lang w:val="uk-UA"/>
              </w:rPr>
              <w:t>.</w:t>
            </w:r>
          </w:p>
          <w:p>
            <w:pPr>
              <w:spacing w:after="0" w:line="240" w:lineRule="auto"/>
              <w:ind w:left="0" w:leftChars="0" w:firstLine="240" w:firstLineChars="120"/>
              <w:jc w:val="both"/>
              <w:rPr>
                <w:rFonts w:hint="default" w:ascii="Times New Roman" w:hAnsi="Times New Roman" w:eastAsia="Times New Roman" w:cs="Times New Roman"/>
                <w:sz w:val="20"/>
                <w:szCs w:val="20"/>
                <w:rtl w:val="0"/>
                <w:lang w:val="uk-UA"/>
              </w:rPr>
            </w:pPr>
            <w:r>
              <w:rPr>
                <w:sz w:val="20"/>
                <w:szCs w:val="20"/>
                <w:lang w:val="uk-UA" w:eastAsia="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pPr>
              <w:spacing w:after="0" w:line="240" w:lineRule="auto"/>
              <w:ind w:left="0" w:leftChars="0" w:firstLine="240" w:firstLineChars="120"/>
              <w:jc w:val="both"/>
              <w:rPr>
                <w:color w:val="auto"/>
                <w:sz w:val="20"/>
                <w:szCs w:val="20"/>
                <w:highlight w:val="none"/>
              </w:rPr>
            </w:pPr>
            <w:r>
              <w:rPr>
                <w:color w:val="auto"/>
                <w:sz w:val="20"/>
                <w:szCs w:val="20"/>
                <w:highlight w: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highlight w:val="none"/>
                <w:rtl w:val="0"/>
              </w:rPr>
            </w:pPr>
            <w:r>
              <w:rPr>
                <w:rFonts w:ascii="Times New Roman" w:hAnsi="Times New Roman" w:eastAsia="Times New Roman" w:cs="Times New Roman"/>
                <w:b w:val="0"/>
                <w:bCs/>
                <w:color w:val="000000"/>
                <w:sz w:val="20"/>
                <w:szCs w:val="20"/>
                <w:rtl w:val="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w:t>
            </w:r>
            <w:r>
              <w:rPr>
                <w:rFonts w:ascii="Times New Roman" w:hAnsi="Times New Roman" w:eastAsia="Times New Roman" w:cs="Times New Roman"/>
                <w:b w:val="0"/>
                <w:bCs/>
                <w:color w:val="000000"/>
                <w:sz w:val="20"/>
                <w:szCs w:val="20"/>
                <w:highlight w:val="none"/>
                <w:rtl w:val="0"/>
              </w:rPr>
              <w:t xml:space="preserve">ть </w:t>
            </w:r>
            <w:r>
              <w:rPr>
                <w:b w:val="0"/>
                <w:bCs/>
                <w:color w:val="auto"/>
                <w:sz w:val="20"/>
                <w:szCs w:val="20"/>
                <w:highlight w:val="none"/>
                <w:lang w:val="uk-UA" w:eastAsia="ru-RU"/>
              </w:rPr>
              <w:t>в</w:t>
            </w:r>
            <w:r>
              <w:rPr>
                <w:b w:val="0"/>
                <w:bCs/>
                <w:color w:val="auto"/>
                <w:sz w:val="20"/>
                <w:szCs w:val="20"/>
                <w:highlight w:val="none"/>
                <w:lang w:eastAsia="ru-RU"/>
              </w:rPr>
              <w:t>сі документи тендерної пропозиції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b w:val="0"/>
                <w:bCs/>
                <w:color w:val="000000"/>
                <w:sz w:val="20"/>
                <w:szCs w:val="20"/>
                <w:highlight w:val="none"/>
                <w:rtl w:val="0"/>
              </w:rPr>
              <w:t xml:space="preserve"> </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rPr>
            </w:pPr>
            <w:r>
              <w:rPr>
                <w:rFonts w:ascii="Times New Roman" w:hAnsi="Times New Roman" w:eastAsia="Times New Roman" w:cs="Times New Roman"/>
                <w:b w:val="0"/>
                <w:bCs/>
                <w:color w:val="000000"/>
                <w:sz w:val="20"/>
                <w:szCs w:val="20"/>
                <w:highlight w:val="none"/>
                <w:rtl w:val="0"/>
              </w:rPr>
              <w:t xml:space="preserve">Тендерна пропозиція </w:t>
            </w:r>
            <w:r>
              <w:rPr>
                <w:rFonts w:ascii="Times New Roman" w:hAnsi="Times New Roman" w:eastAsia="Times New Roman" w:cs="Times New Roman"/>
                <w:b w:val="0"/>
                <w:bCs/>
                <w:color w:val="000000"/>
                <w:sz w:val="20"/>
                <w:szCs w:val="20"/>
                <w:rtl w:val="0"/>
              </w:rPr>
              <w:t xml:space="preserve">учасника має відповідати ряду вимог: </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rtl w:val="0"/>
              </w:rPr>
              <w:t>1) документи мають бути чіткими та розбірливими для читанн</w:t>
            </w:r>
            <w:r>
              <w:rPr>
                <w:rFonts w:ascii="Times New Roman" w:hAnsi="Times New Roman" w:eastAsia="Times New Roman" w:cs="Times New Roman"/>
                <w:b w:val="0"/>
                <w:bCs/>
                <w:color w:val="000000"/>
                <w:sz w:val="20"/>
                <w:szCs w:val="20"/>
                <w:highlight w:val="none"/>
                <w:rtl w:val="0"/>
              </w:rPr>
              <w:t>я;</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val="0"/>
                <w:bCs/>
                <w:color w:val="auto"/>
                <w:sz w:val="20"/>
                <w:szCs w:val="20"/>
                <w:highlight w:val="none"/>
                <w:rtl w:val="0"/>
              </w:rPr>
              <w:t>сом (УЕП)</w:t>
            </w:r>
            <w:r>
              <w:rPr>
                <w:rFonts w:ascii="Times New Roman" w:hAnsi="Times New Roman" w:eastAsia="Times New Roman" w:cs="Times New Roman"/>
                <w:b w:val="0"/>
                <w:bCs/>
                <w:color w:val="000000"/>
                <w:sz w:val="20"/>
                <w:szCs w:val="20"/>
                <w:highlight w:val="none"/>
                <w:rtl w:val="0"/>
              </w:rPr>
              <w:t>;</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Винятки:</w:t>
            </w:r>
          </w:p>
          <w:p>
            <w:pPr>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val="0"/>
                <w:bCs/>
                <w:color w:val="000000"/>
                <w:sz w:val="20"/>
                <w:szCs w:val="20"/>
                <w:highlight w:val="none"/>
              </w:rPr>
            </w:pPr>
            <w:r>
              <w:rPr>
                <w:rFonts w:ascii="Times New Roman" w:hAnsi="Times New Roman" w:eastAsia="Times New Roman" w:cs="Times New Roman"/>
                <w:b w:val="0"/>
                <w:bCs/>
                <w:color w:val="000000"/>
                <w:sz w:val="20"/>
                <w:szCs w:val="20"/>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0" w:leftChars="0" w:firstLine="240" w:firstLineChars="120"/>
              <w:jc w:val="both"/>
              <w:rPr>
                <w:rFonts w:ascii="Times New Roman" w:hAnsi="Times New Roman" w:eastAsia="Times New Roman" w:cs="Times New Roman"/>
                <w:b w:val="0"/>
                <w:bCs/>
                <w:color w:val="auto"/>
                <w:sz w:val="20"/>
                <w:szCs w:val="20"/>
                <w:highlight w:val="none"/>
              </w:rPr>
            </w:pPr>
            <w:r>
              <w:rPr>
                <w:rFonts w:ascii="Times New Roman" w:hAnsi="Times New Roman" w:eastAsia="Times New Roman" w:cs="Times New Roman"/>
                <w:b w:val="0"/>
                <w:bCs/>
                <w:color w:val="000000"/>
                <w:sz w:val="20"/>
                <w:szCs w:val="20"/>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val="0"/>
                <w:bCs/>
                <w:color w:val="auto"/>
                <w:sz w:val="20"/>
                <w:szCs w:val="20"/>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0" w:leftChars="0" w:firstLine="240" w:firstLineChars="120"/>
              <w:jc w:val="both"/>
              <w:rPr>
                <w:rFonts w:ascii="Times New Roman" w:hAnsi="Times New Roman" w:eastAsia="Times New Roman" w:cs="Times New Roman"/>
                <w:b w:val="0"/>
                <w:bCs/>
                <w:color w:val="000000"/>
                <w:sz w:val="20"/>
                <w:szCs w:val="20"/>
                <w:rtl w:val="0"/>
              </w:rPr>
            </w:pPr>
            <w:r>
              <w:rPr>
                <w:rFonts w:ascii="Times New Roman" w:hAnsi="Times New Roman" w:eastAsia="Times New Roman" w:cs="Times New Roman"/>
                <w:b w:val="0"/>
                <w:bCs/>
                <w:color w:val="000000"/>
                <w:sz w:val="20"/>
                <w:szCs w:val="20"/>
                <w:highlight w:val="none"/>
                <w:rtl w:val="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w:t>
            </w:r>
            <w:r>
              <w:rPr>
                <w:rFonts w:ascii="Times New Roman" w:hAnsi="Times New Roman" w:eastAsia="Times New Roman" w:cs="Times New Roman"/>
                <w:b w:val="0"/>
                <w:bCs/>
                <w:color w:val="000000"/>
                <w:sz w:val="20"/>
                <w:szCs w:val="20"/>
                <w:rtl w:val="0"/>
              </w:rPr>
              <w:t xml:space="preserve">рної пропозиції (власника ключа). </w:t>
            </w:r>
          </w:p>
          <w:p>
            <w:pPr>
              <w:widowControl w:val="0"/>
              <w:spacing w:after="0" w:line="240" w:lineRule="auto"/>
              <w:ind w:left="0" w:leftChars="0" w:firstLine="240" w:firstLineChars="120"/>
              <w:jc w:val="both"/>
              <w:rPr>
                <w:rFonts w:hint="default" w:ascii="Times New Roman" w:hAnsi="Times New Roman" w:eastAsia="Times New Roman" w:cs="Times New Roman"/>
                <w:b w:val="0"/>
                <w:bCs/>
                <w:color w:val="000000"/>
                <w:sz w:val="20"/>
                <w:szCs w:val="20"/>
                <w:rtl w:val="0"/>
                <w:lang w:val="uk-UA"/>
              </w:rPr>
            </w:pPr>
            <w:r>
              <w:rPr>
                <w:rFonts w:ascii="Times New Roman" w:hAnsi="Times New Roman" w:eastAsia="Times New Roman" w:cs="Times New Roman"/>
                <w:b w:val="0"/>
                <w:bCs/>
                <w:color w:val="000000"/>
                <w:sz w:val="20"/>
                <w:szCs w:val="20"/>
                <w:rtl w:val="0"/>
                <w:lang w:val="uk-UA"/>
              </w:rPr>
              <w:t>Документи</w:t>
            </w:r>
            <w:r>
              <w:rPr>
                <w:rFonts w:hint="default" w:ascii="Times New Roman" w:hAnsi="Times New Roman" w:eastAsia="Times New Roman" w:cs="Times New Roman"/>
                <w:b w:val="0"/>
                <w:bCs/>
                <w:color w:val="000000"/>
                <w:sz w:val="20"/>
                <w:szCs w:val="20"/>
                <w:rtl w:val="0"/>
                <w:lang w:val="uk-UA"/>
              </w:rPr>
              <w:t>, які не відкриваються або текст такого документу не можливо ідентифікувати, вважаються не наданими та під час розгляду пропозиції Замовником до уваги не приймаються.</w:t>
            </w:r>
          </w:p>
          <w:p>
            <w:pPr>
              <w:widowControl w:val="0"/>
              <w:spacing w:after="0" w:line="240" w:lineRule="auto"/>
              <w:ind w:left="0" w:leftChars="0" w:firstLine="240" w:firstLineChars="120"/>
              <w:jc w:val="both"/>
              <w:rPr>
                <w:rFonts w:ascii="Times New Roman" w:hAnsi="Times New Roman" w:eastAsia="Times New Roman" w:cs="Times New Roman"/>
                <w:b w:val="0"/>
                <w:bCs/>
                <w:color w:val="auto"/>
                <w:sz w:val="20"/>
                <w:szCs w:val="20"/>
              </w:rPr>
            </w:pPr>
            <w:bookmarkStart w:id="5" w:name="_heading=h.2et92p0" w:colFirst="0" w:colLast="0"/>
            <w:bookmarkEnd w:id="5"/>
            <w:bookmarkStart w:id="6" w:name="_heading=h.hjqm8skarbdr" w:colFirst="0" w:colLast="0"/>
            <w:bookmarkEnd w:id="6"/>
            <w:r>
              <w:rPr>
                <w:rFonts w:ascii="Times New Roman" w:hAnsi="Times New Roman" w:eastAsia="Times New Roman" w:cs="Times New Roman"/>
                <w:b w:val="0"/>
                <w:bCs/>
                <w:color w:val="auto"/>
                <w:sz w:val="20"/>
                <w:szCs w:val="20"/>
                <w:rtl w:val="0"/>
              </w:rPr>
              <w:t xml:space="preserve">Тендерні пропозиції мають право подавати всі заінтересовані особи. </w:t>
            </w:r>
          </w:p>
          <w:p>
            <w:pPr>
              <w:overflowPunct w:val="0"/>
              <w:spacing w:after="0" w:line="240" w:lineRule="auto"/>
              <w:ind w:left="0" w:leftChars="0" w:firstLine="240" w:firstLineChars="120"/>
              <w:jc w:val="both"/>
              <w:rPr>
                <w:color w:val="auto"/>
                <w:sz w:val="20"/>
                <w:szCs w:val="20"/>
              </w:rPr>
            </w:pPr>
            <w:bookmarkStart w:id="7" w:name="_heading=h.ftj7vaqoric" w:colFirst="0" w:colLast="0"/>
            <w:bookmarkEnd w:id="7"/>
            <w:r>
              <w:rPr>
                <w:rFonts w:ascii="Times New Roman" w:hAnsi="Times New Roman" w:eastAsia="Times New Roman" w:cs="Times New Roman"/>
                <w:b w:val="0"/>
                <w:bCs/>
                <w:color w:val="auto"/>
                <w:sz w:val="20"/>
                <w:szCs w:val="20"/>
                <w:rtl w:val="0"/>
              </w:rPr>
              <w:t>Кожен учасник має право подати тільки одну тендерну пропозицію</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Забезпечення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262626" w:themeColor="text1" w:themeTint="D9"/>
                <w:sz w:val="20"/>
                <w:szCs w:val="20"/>
                <w14:textFill>
                  <w14:solidFill>
                    <w14:schemeClr w14:val="tx1">
                      <w14:lumMod w14:val="85000"/>
                      <w14:lumOff w14:val="15000"/>
                    </w14:schemeClr>
                  </w14:solidFill>
                </w14:textFill>
              </w:rPr>
              <w:t>Забезпечення тендерної пропозиції  не вимагається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3.</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Умови повернення чи неповернення забезпечення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color w:val="262626" w:themeColor="text1" w:themeTint="D9"/>
                <w:sz w:val="20"/>
                <w:szCs w:val="20"/>
                <w14:textFill>
                  <w14:solidFill>
                    <w14:schemeClr w14:val="tx1">
                      <w14:lumMod w14:val="85000"/>
                      <w14:lumOff w14:val="15000"/>
                    </w14:schemeClr>
                  </w14:solidFill>
                </w14:textFill>
              </w:rPr>
              <w:t>Не передбачається.</w:t>
            </w:r>
          </w:p>
        </w:tc>
      </w:tr>
      <w:tr>
        <w:tblPrEx>
          <w:tblCellMar>
            <w:top w:w="0" w:type="dxa"/>
            <w:left w:w="78" w:type="dxa"/>
            <w:bottom w:w="0" w:type="dxa"/>
            <w:right w:w="108" w:type="dxa"/>
          </w:tblCellMar>
        </w:tblPrEx>
        <w:trPr>
          <w:trHeight w:val="315" w:hRule="atLeast"/>
        </w:trPr>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4.</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color w:val="auto"/>
                <w:sz w:val="20"/>
                <w:szCs w:val="20"/>
              </w:rPr>
            </w:pPr>
            <w:r>
              <w:rPr>
                <w:b/>
                <w:bCs/>
                <w:color w:val="auto"/>
                <w:sz w:val="20"/>
                <w:szCs w:val="20"/>
              </w:rPr>
              <w:t>Строк, протягом якого тендерні пропозиції є дійсними</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hd w:val="clear" w:color="auto" w:fill="FFFFFF"/>
              <w:tabs>
                <w:tab w:val="left" w:pos="2977"/>
              </w:tabs>
              <w:spacing w:after="0" w:line="240" w:lineRule="auto"/>
              <w:ind w:left="0" w:leftChars="0" w:right="-66" w:firstLine="240" w:firstLineChars="0"/>
              <w:jc w:val="both"/>
              <w:rPr>
                <w:color w:val="auto"/>
              </w:rPr>
            </w:pPr>
            <w:r>
              <w:rPr>
                <w:color w:val="auto"/>
                <w:sz w:val="20"/>
                <w:szCs w:val="20"/>
              </w:rPr>
              <w:t>Т</w:t>
            </w:r>
            <w:r>
              <w:rPr>
                <w:color w:val="auto"/>
                <w:sz w:val="20"/>
                <w:szCs w:val="20"/>
                <w:lang w:eastAsia="uk-UA"/>
              </w:rPr>
              <w:t xml:space="preserve">ендерні пропозиції вважаються дійсними протягом 120 (ста двадцяти) днів з дати кінцевого строку подання тендерних пропозицій. </w:t>
            </w:r>
            <w:r>
              <w:rPr>
                <w:color w:val="auto"/>
                <w:sz w:val="20"/>
                <w:szCs w:val="20"/>
              </w:rPr>
              <w:t>Перебіг строку дії тендерної пропозиції обчислюється відповідно до вимог Цивільного кодексу України.</w:t>
            </w:r>
          </w:p>
          <w:p>
            <w:pPr>
              <w:widowControl w:val="0"/>
              <w:shd w:val="clear" w:color="auto" w:fill="FFFFFF"/>
              <w:tabs>
                <w:tab w:val="left" w:pos="2977"/>
              </w:tabs>
              <w:spacing w:after="0" w:line="240" w:lineRule="auto"/>
              <w:ind w:left="0" w:leftChars="0" w:right="-66" w:firstLine="240" w:firstLineChars="0"/>
              <w:jc w:val="both"/>
              <w:rPr>
                <w:color w:val="auto"/>
              </w:rPr>
            </w:pPr>
            <w:r>
              <w:rPr>
                <w:color w:val="auto"/>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91"/>
              <w:widowControl w:val="0"/>
              <w:numPr>
                <w:ilvl w:val="0"/>
                <w:numId w:val="4"/>
              </w:numPr>
              <w:shd w:val="clear" w:color="auto" w:fill="FFFFFF"/>
              <w:tabs>
                <w:tab w:val="clear" w:pos="420"/>
              </w:tabs>
              <w:spacing w:after="0" w:line="240" w:lineRule="auto"/>
              <w:ind w:left="420" w:leftChars="0" w:right="-66" w:hanging="180" w:firstLineChars="0"/>
              <w:jc w:val="both"/>
              <w:rPr>
                <w:color w:val="auto"/>
              </w:rPr>
            </w:pPr>
            <w:r>
              <w:rPr>
                <w:color w:val="auto"/>
                <w:sz w:val="20"/>
              </w:rPr>
              <w:t>відхилити таку вимогу, не втрачаючи при цьому наданого ним забезпечення тендерної пропозиції;</w:t>
            </w:r>
          </w:p>
          <w:p>
            <w:pPr>
              <w:pStyle w:val="191"/>
              <w:widowControl w:val="0"/>
              <w:numPr>
                <w:ilvl w:val="0"/>
                <w:numId w:val="4"/>
              </w:numPr>
              <w:shd w:val="clear" w:color="auto" w:fill="FFFFFF"/>
              <w:tabs>
                <w:tab w:val="clear" w:pos="420"/>
              </w:tabs>
              <w:spacing w:after="0" w:line="240" w:lineRule="auto"/>
              <w:ind w:left="420" w:leftChars="0" w:right="-66" w:hanging="180" w:firstLineChars="0"/>
              <w:jc w:val="both"/>
              <w:rPr>
                <w:color w:val="auto"/>
              </w:rPr>
            </w:pPr>
            <w:r>
              <w:rPr>
                <w:color w:val="auto"/>
                <w:sz w:val="20"/>
              </w:rPr>
              <w:t>погодитися з вимогою та продовжити строк дії поданої ним тендерної пропозиції.</w:t>
            </w:r>
          </w:p>
          <w:p>
            <w:pPr>
              <w:spacing w:after="0" w:line="240" w:lineRule="auto"/>
              <w:ind w:left="0" w:leftChars="0" w:firstLine="240" w:firstLineChars="0"/>
              <w:jc w:val="both"/>
              <w:rPr>
                <w:color w:val="auto"/>
              </w:rPr>
            </w:pPr>
            <w:r>
              <w:rPr>
                <w:color w:val="auto"/>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BFBFBF" w:sz="12" w:space="0"/>
            </w:tcBorders>
            <w:shd w:val="clear" w:color="auto" w:fill="auto"/>
            <w:vAlign w:val="center"/>
          </w:tcPr>
          <w:p>
            <w:pPr>
              <w:spacing w:after="0" w:line="240" w:lineRule="auto"/>
              <w:rPr>
                <w:b/>
                <w:bCs/>
                <w:color w:val="auto"/>
                <w:sz w:val="20"/>
                <w:szCs w:val="20"/>
              </w:rPr>
            </w:pPr>
            <w:r>
              <w:rPr>
                <w:b/>
                <w:bCs/>
                <w:color w:val="auto"/>
                <w:sz w:val="20"/>
                <w:szCs w:val="20"/>
              </w:rPr>
              <w:t>5.</w:t>
            </w:r>
          </w:p>
        </w:tc>
        <w:tc>
          <w:tcPr>
            <w:tcW w:w="2394" w:type="dxa"/>
            <w:tcBorders>
              <w:top w:val="thickThinSmallGap" w:color="C0C0C0" w:sz="12" w:space="0"/>
              <w:left w:val="thickThinSmallGap" w:color="C0C0C0" w:sz="12" w:space="0"/>
              <w:bottom w:val="thickThinSmallGap" w:color="BFBFBF" w:sz="12" w:space="0"/>
            </w:tcBorders>
            <w:shd w:val="clear" w:color="auto" w:fill="auto"/>
            <w:vAlign w:val="center"/>
          </w:tcPr>
          <w:p>
            <w:pPr>
              <w:spacing w:after="0" w:line="240" w:lineRule="auto"/>
              <w:rPr>
                <w:b/>
                <w:color w:val="auto"/>
                <w:sz w:val="20"/>
                <w:szCs w:val="20"/>
              </w:rPr>
            </w:pPr>
          </w:p>
          <w:p>
            <w:pPr>
              <w:spacing w:after="0" w:line="240" w:lineRule="auto"/>
              <w:rPr>
                <w:rFonts w:hint="default"/>
                <w:b/>
                <w:color w:val="auto"/>
                <w:sz w:val="20"/>
                <w:szCs w:val="20"/>
                <w:lang w:val="uk"/>
              </w:rPr>
            </w:pPr>
            <w:r>
              <w:rPr>
                <w:b/>
                <w:color w:val="auto"/>
                <w:sz w:val="20"/>
                <w:szCs w:val="20"/>
              </w:rPr>
              <w:t xml:space="preserve">Кваліфікаційні критерії учасників </w:t>
            </w:r>
            <w:r>
              <w:rPr>
                <w:b/>
                <w:color w:val="auto"/>
                <w:sz w:val="20"/>
                <w:szCs w:val="20"/>
                <w:lang w:val="uk"/>
              </w:rPr>
              <w:t>процедури</w:t>
            </w:r>
            <w:r>
              <w:rPr>
                <w:rFonts w:hint="default"/>
                <w:b/>
                <w:color w:val="auto"/>
                <w:sz w:val="20"/>
                <w:szCs w:val="20"/>
                <w:lang w:val="uk"/>
              </w:rPr>
              <w:t xml:space="preserve"> закупівлі</w:t>
            </w:r>
          </w:p>
          <w:p>
            <w:pPr>
              <w:spacing w:after="0" w:line="240" w:lineRule="auto"/>
              <w:rPr>
                <w:rFonts w:hint="default"/>
                <w:b/>
                <w:color w:val="auto"/>
                <w:sz w:val="20"/>
                <w:szCs w:val="20"/>
                <w:lang w:val="uk"/>
              </w:rPr>
            </w:pPr>
            <w:r>
              <w:rPr>
                <w:b/>
                <w:color w:val="auto"/>
                <w:sz w:val="20"/>
                <w:szCs w:val="20"/>
                <w:highlight w:val="white"/>
                <w:lang w:val="uk-UA"/>
              </w:rPr>
              <w:t xml:space="preserve">Підстави для відмови </w:t>
            </w:r>
            <w:r>
              <w:rPr>
                <w:rFonts w:eastAsia="Times New Roman"/>
                <w:b/>
                <w:color w:val="auto"/>
                <w:sz w:val="20"/>
                <w:szCs w:val="20"/>
                <w:highlight w:val="white"/>
                <w:lang w:val="uk-UA"/>
              </w:rPr>
              <w:t xml:space="preserve">в участі у процедурі закупівлі, </w:t>
            </w:r>
            <w:r>
              <w:rPr>
                <w:rFonts w:eastAsia="Times New Roman"/>
                <w:b/>
                <w:color w:val="000000"/>
                <w:sz w:val="20"/>
                <w:szCs w:val="20"/>
                <w:highlight w:val="white"/>
                <w:lang w:val="uk-UA"/>
              </w:rPr>
              <w:t>встановлені у пункті 47 Особливостей</w:t>
            </w:r>
          </w:p>
        </w:tc>
        <w:tc>
          <w:tcPr>
            <w:tcW w:w="7321" w:type="dxa"/>
            <w:tcBorders>
              <w:top w:val="thickThinSmallGap" w:color="C0C0C0" w:sz="12" w:space="0"/>
              <w:left w:val="thickThinSmallGap" w:color="C0C0C0" w:sz="12" w:space="0"/>
              <w:bottom w:val="thickThinSmallGap" w:color="BFBFBF" w:sz="12" w:space="0"/>
              <w:right w:val="thickThinSmallGap" w:color="C0C0C0"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rFonts w:hint="default"/>
                <w:color w:val="auto"/>
                <w:sz w:val="20"/>
                <w:szCs w:val="20"/>
                <w:highlight w:val="white"/>
                <w:lang w:val="uk"/>
              </w:rPr>
            </w:pPr>
            <w:r>
              <w:rPr>
                <w:rFonts w:ascii="Times New Roman" w:hAnsi="Times New Roman" w:eastAsia="Times New Roman" w:cs="Times New Roman"/>
                <w:color w:val="auto"/>
                <w:sz w:val="20"/>
                <w:szCs w:val="20"/>
                <w:rtl w:val="0"/>
              </w:rPr>
              <w:t xml:space="preserve">Замовник </w:t>
            </w:r>
            <w:r>
              <w:rPr>
                <w:rFonts w:eastAsia="Times New Roman" w:cs="Times New Roman"/>
                <w:color w:val="auto"/>
                <w:sz w:val="20"/>
                <w:szCs w:val="20"/>
                <w:rtl w:val="0"/>
                <w:lang w:val="uk-UA"/>
              </w:rPr>
              <w:t>в</w:t>
            </w:r>
            <w:r>
              <w:rPr>
                <w:rFonts w:ascii="Times New Roman" w:hAnsi="Times New Roman" w:eastAsia="Times New Roman" w:cs="Times New Roman"/>
                <w:color w:val="auto"/>
                <w:sz w:val="20"/>
                <w:szCs w:val="20"/>
                <w:rtl w:val="0"/>
              </w:rPr>
              <w:t>становлює один або декілька кваліфікаційних критеріїв відповідно до статті 16 Закону.</w:t>
            </w:r>
            <w:r>
              <w:rPr>
                <w:rFonts w:hint="default"/>
                <w:color w:val="auto"/>
                <w:sz w:val="20"/>
                <w:szCs w:val="20"/>
                <w:highlight w:val="white"/>
                <w:lang w:val="uk"/>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color w:val="auto"/>
                <w:sz w:val="20"/>
                <w:szCs w:val="20"/>
                <w:lang w:val="uk-UA"/>
              </w:rPr>
            </w:pPr>
            <w:r>
              <w:rPr>
                <w:color w:val="auto"/>
                <w:sz w:val="20"/>
                <w:szCs w:val="20"/>
                <w:highlight w:val="white"/>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color w:val="auto"/>
                <w:sz w:val="20"/>
                <w:szCs w:val="20"/>
                <w:highlight w:val="white"/>
                <w:lang w:val="uk-UA"/>
              </w:rPr>
              <w:t>Додатку №1</w:t>
            </w:r>
            <w:r>
              <w:rPr>
                <w:i/>
                <w:color w:val="auto"/>
                <w:sz w:val="20"/>
                <w:szCs w:val="20"/>
                <w:highlight w:val="white"/>
                <w:lang w:val="uk-UA"/>
              </w:rPr>
              <w:t xml:space="preserve"> </w:t>
            </w:r>
            <w:r>
              <w:rPr>
                <w:color w:val="auto"/>
                <w:sz w:val="20"/>
                <w:szCs w:val="20"/>
                <w:highlight w:val="white"/>
                <w:lang w:val="uk-UA"/>
              </w:rPr>
              <w:t>до цієї тендерної документації. Спосіб  підтвердження відповідності учасни</w:t>
            </w:r>
            <w:r>
              <w:rPr>
                <w:color w:val="auto"/>
                <w:sz w:val="20"/>
                <w:szCs w:val="20"/>
                <w:lang w:val="uk-UA"/>
              </w:rPr>
              <w:t>ка критеріям і вимогам згідно із законодавством наведено в</w:t>
            </w:r>
            <w:r>
              <w:rPr>
                <w:b/>
                <w:color w:val="auto"/>
                <w:sz w:val="20"/>
                <w:szCs w:val="20"/>
                <w:lang w:val="uk-UA"/>
              </w:rPr>
              <w:t xml:space="preserve"> Додатку №1</w:t>
            </w:r>
            <w:r>
              <w:rPr>
                <w:color w:val="auto"/>
                <w:sz w:val="20"/>
                <w:szCs w:val="20"/>
                <w:lang w:val="uk-UA"/>
              </w:rPr>
              <w:t xml:space="preserve"> до цієї тендерної документації.</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1" w:firstLineChars="120"/>
              <w:jc w:val="both"/>
              <w:textAlignment w:val="auto"/>
              <w:rPr>
                <w:color w:val="auto"/>
                <w:sz w:val="20"/>
                <w:szCs w:val="20"/>
                <w:lang w:val="uk-UA"/>
              </w:rPr>
            </w:pPr>
            <w:r>
              <w:rPr>
                <w:b/>
                <w:color w:val="auto"/>
                <w:sz w:val="20"/>
                <w:szCs w:val="20"/>
                <w:lang w:val="uk-UA"/>
              </w:rPr>
              <w:t>У разі участі об’єднання учасників</w:t>
            </w:r>
            <w:r>
              <w:rPr>
                <w:color w:val="auto"/>
                <w:sz w:val="20"/>
                <w:szCs w:val="2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hint="default"/>
                <w:color w:val="auto"/>
                <w:sz w:val="20"/>
                <w:szCs w:val="20"/>
                <w:lang w:val="uk-UA"/>
              </w:rPr>
              <w:t>.</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60" w:lineRule="auto"/>
              <w:ind w:left="0" w:leftChars="0" w:firstLine="240" w:firstLineChars="120"/>
              <w:jc w:val="both"/>
              <w:textAlignment w:val="auto"/>
              <w:rPr>
                <w:rFonts w:eastAsia="Times New Roman"/>
                <w:color w:val="auto"/>
                <w:sz w:val="20"/>
                <w:szCs w:val="20"/>
                <w:highlight w:val="white"/>
                <w:lang w:val="uk-UA"/>
              </w:rPr>
            </w:pPr>
            <w:r>
              <w:rPr>
                <w:rFonts w:eastAsia="Times New Roman"/>
                <w:color w:val="auto"/>
                <w:sz w:val="20"/>
                <w:szCs w:val="20"/>
                <w:highlight w:val="white"/>
                <w:lang w:val="uk-UA"/>
              </w:rPr>
              <w:t>Підстави для відмови в участі у процедурі закупівлі, встановлені пунктом 47 Особливостей:</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3) </w:t>
            </w:r>
            <w:r>
              <w:rPr>
                <w:rFonts w:ascii="Times New Roman" w:hAnsi="Times New Roman"/>
                <w:b/>
                <w:color w:val="auto"/>
                <w:sz w:val="20"/>
                <w:szCs w:val="20"/>
                <w:highlight w:val="white"/>
                <w:lang w:val="uk-UA"/>
              </w:rPr>
              <w:t>керівника учасника</w:t>
            </w:r>
            <w:r>
              <w:rPr>
                <w:rFonts w:ascii="Times New Roman" w:hAnsi="Times New Roman"/>
                <w:color w:val="auto"/>
                <w:sz w:val="20"/>
                <w:szCs w:val="20"/>
                <w:highlight w:val="white"/>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6) </w:t>
            </w:r>
            <w:r>
              <w:rPr>
                <w:rFonts w:ascii="Times New Roman" w:hAnsi="Times New Roman"/>
                <w:b/>
                <w:color w:val="auto"/>
                <w:sz w:val="20"/>
                <w:szCs w:val="20"/>
                <w:highlight w:val="white"/>
                <w:lang w:val="uk-UA"/>
              </w:rPr>
              <w:t>керівник учасника</w:t>
            </w:r>
            <w:r>
              <w:rPr>
                <w:rFonts w:ascii="Times New Roman" w:hAnsi="Times New Roman"/>
                <w:color w:val="auto"/>
                <w:sz w:val="20"/>
                <w:szCs w:val="20"/>
                <w:highlight w:val="white"/>
                <w:lang w:val="uk-UA"/>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11) </w:t>
            </w:r>
            <w:r>
              <w:rPr>
                <w:rFonts w:ascii="Times New Roman" w:hAnsi="Times New Roman"/>
                <w:color w:val="auto"/>
                <w:sz w:val="20"/>
                <w:szCs w:val="20"/>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ascii="Times New Roman" w:hAnsi="Times New Roman"/>
                <w:color w:val="auto"/>
                <w:sz w:val="20"/>
                <w:szCs w:val="20"/>
              </w:rPr>
              <w:t> </w:t>
            </w:r>
            <w:r>
              <w:rPr>
                <w:rFonts w:ascii="Times New Roman" w:hAnsi="Times New Roman"/>
                <w:color w:val="auto"/>
                <w:sz w:val="20"/>
                <w:szCs w:val="20"/>
                <w:lang w:val="uk-UA"/>
              </w:rPr>
              <w:t>Законом України</w:t>
            </w:r>
            <w:r>
              <w:rPr>
                <w:rFonts w:ascii="Times New Roman" w:hAnsi="Times New Roman"/>
                <w:color w:val="auto"/>
                <w:sz w:val="20"/>
                <w:szCs w:val="20"/>
              </w:rPr>
              <w:t> </w:t>
            </w:r>
            <w:r>
              <w:rPr>
                <w:rFonts w:ascii="Times New Roman" w:hAnsi="Times New Roman"/>
                <w:color w:val="auto"/>
                <w:sz w:val="20"/>
                <w:szCs w:val="20"/>
                <w:lang w:val="uk-UA"/>
              </w:rPr>
              <w:t>“Про санкції”, крім випадку, коли активи такої особи в установленому законодавством порядку передані в управління АРМА;</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12) </w:t>
            </w:r>
            <w:r>
              <w:rPr>
                <w:rFonts w:ascii="Times New Roman" w:hAnsi="Times New Roman"/>
                <w:b/>
                <w:color w:val="auto"/>
                <w:sz w:val="20"/>
                <w:szCs w:val="20"/>
                <w:highlight w:val="white"/>
                <w:lang w:val="uk-UA"/>
              </w:rPr>
              <w:t>керівника учасника</w:t>
            </w:r>
            <w:r>
              <w:rPr>
                <w:rFonts w:ascii="Times New Roman" w:hAnsi="Times New Roman"/>
                <w:color w:val="auto"/>
                <w:sz w:val="20"/>
                <w:szCs w:val="20"/>
                <w:highlight w:val="white"/>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 xml:space="preserve">Замовник </w:t>
            </w:r>
            <w:r>
              <w:rPr>
                <w:rFonts w:ascii="Times New Roman" w:hAnsi="Times New Roman"/>
                <w:b/>
                <w:color w:val="auto"/>
                <w:sz w:val="20"/>
                <w:szCs w:val="20"/>
                <w:highlight w:val="white"/>
                <w:lang w:val="uk-UA"/>
              </w:rPr>
              <w:t>може прийняти рішення про відмову</w:t>
            </w:r>
            <w:r>
              <w:rPr>
                <w:rFonts w:ascii="Times New Roman" w:hAnsi="Times New Roman"/>
                <w:color w:val="auto"/>
                <w:sz w:val="20"/>
                <w:szCs w:val="20"/>
                <w:highlight w:val="white"/>
                <w:lang w:val="uk-UA"/>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ascii="Times New Roman" w:hAnsi="Times New Roman"/>
                <w:color w:val="auto"/>
                <w:sz w:val="20"/>
                <w:szCs w:val="20"/>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bCs/>
                <w:color w:val="auto"/>
                <w:sz w:val="20"/>
                <w:szCs w:val="20"/>
                <w:highlight w:val="white"/>
                <w:lang w:val="uk-UA"/>
              </w:rPr>
              <w:t>учасника процедури закупівлі та/або переможця</w:t>
            </w:r>
            <w:r>
              <w:rPr>
                <w:rFonts w:ascii="Times New Roman" w:hAnsi="Times New Roman"/>
                <w:color w:val="auto"/>
                <w:sz w:val="20"/>
                <w:szCs w:val="20"/>
                <w:highlight w:val="white"/>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289"/>
              <w:jc w:val="both"/>
              <w:textAlignment w:val="auto"/>
              <w:rPr>
                <w:rFonts w:hint="default" w:ascii="Times New Roman" w:hAnsi="Times New Roman" w:cs="Times New Roman"/>
                <w:b/>
                <w:color w:val="auto"/>
                <w:sz w:val="20"/>
                <w:szCs w:val="20"/>
                <w:lang w:val="uk-UA"/>
              </w:rPr>
            </w:pPr>
            <w:r>
              <w:rPr>
                <w:rFonts w:hint="default" w:ascii="Times New Roman" w:hAnsi="Times New Roman" w:cs="Times New Roman"/>
                <w:b/>
                <w:color w:val="auto"/>
                <w:sz w:val="20"/>
                <w:szCs w:val="20"/>
                <w:lang w:val="uk-UA"/>
              </w:rPr>
              <w:t>Для учасників:</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hint="default" w:ascii="Times New Roman" w:hAnsi="Times New Roman" w:cs="Times New Roman"/>
                <w:b/>
                <w:color w:val="auto"/>
                <w:sz w:val="20"/>
                <w:szCs w:val="20"/>
                <w:lang w:val="uk-UA"/>
              </w:rPr>
              <w:t>(крім абзацу чотирнадцятого пункту 47 Особливостей)</w:t>
            </w:r>
            <w:r>
              <w:rPr>
                <w:rFonts w:hint="default" w:ascii="Times New Roman" w:hAnsi="Times New Roman" w:cs="Times New Roman"/>
                <w:color w:val="auto"/>
                <w:sz w:val="20"/>
                <w:szCs w:val="20"/>
                <w:lang w:val="uk-UA"/>
              </w:rPr>
              <w:t>, крім самостійного декларування відсутності таких підстав учасником процедури закупівлі відповідно до абзацу шістнадцятого пункту 47 Ос</w:t>
            </w:r>
            <w:r>
              <w:rPr>
                <w:rFonts w:hint="default" w:ascii="Times New Roman" w:hAnsi="Times New Roman" w:cs="Times New Roman"/>
                <w:color w:val="auto"/>
                <w:sz w:val="20"/>
                <w:szCs w:val="20"/>
                <w:lang w:val="uk"/>
              </w:rPr>
              <w:t>о</w:t>
            </w:r>
            <w:r>
              <w:rPr>
                <w:rFonts w:hint="default" w:ascii="Times New Roman" w:hAnsi="Times New Roman" w:cs="Times New Roman"/>
                <w:color w:val="auto"/>
                <w:sz w:val="20"/>
                <w:szCs w:val="20"/>
                <w:lang w:val="uk-UA"/>
              </w:rPr>
              <w:t>бливостей.</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b/>
                <w:color w:val="auto"/>
                <w:sz w:val="20"/>
                <w:szCs w:val="20"/>
                <w:lang w:val="uk-UA"/>
              </w:rPr>
              <w:t>Учасник процедури закупівлі</w:t>
            </w:r>
            <w:r>
              <w:rPr>
                <w:rFonts w:hint="default" w:ascii="Times New Roman" w:hAnsi="Times New Roman" w:cs="Times New Roman"/>
                <w:color w:val="auto"/>
                <w:sz w:val="20"/>
                <w:szCs w:val="20"/>
                <w:lang w:val="uk-UA"/>
              </w:rPr>
              <w:t xml:space="preserve">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192"/>
              <w:keepNext w:val="0"/>
              <w:keepLines w:val="0"/>
              <w:pageBreakBefore w:val="0"/>
              <w:widowControl/>
              <w:kinsoku/>
              <w:wordWrap/>
              <w:overflowPunct/>
              <w:topLinePunct w:val="0"/>
              <w:autoSpaceDE/>
              <w:autoSpaceDN/>
              <w:bidi w:val="0"/>
              <w:adjustRightInd/>
              <w:snapToGrid/>
              <w:spacing w:before="0" w:after="0" w:line="240" w:lineRule="auto"/>
              <w:ind w:firstLine="289"/>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keepNext w:val="0"/>
              <w:keepLines w:val="0"/>
              <w:pageBreakBefore w:val="0"/>
              <w:widowControl/>
              <w:shd w:val="clear" w:color="auto" w:fill="FFFFFF" w:themeFill="background1"/>
              <w:kinsoku/>
              <w:wordWrap/>
              <w:overflowPunct/>
              <w:topLinePunct w:val="0"/>
              <w:autoSpaceDE/>
              <w:autoSpaceDN/>
              <w:bidi w:val="0"/>
              <w:adjustRightInd/>
              <w:snapToGrid/>
              <w:spacing w:after="0" w:line="240" w:lineRule="auto"/>
              <w:ind w:firstLine="289"/>
              <w:jc w:val="both"/>
              <w:textAlignment w:val="auto"/>
              <w:rPr>
                <w:rFonts w:hint="default" w:ascii="Times New Roman" w:hAnsi="Times New Roman" w:cs="Times New Roman"/>
                <w:color w:val="auto"/>
                <w:sz w:val="20"/>
                <w:szCs w:val="20"/>
                <w:lang w:val="uk-UA"/>
              </w:rPr>
            </w:pPr>
            <w:r>
              <w:rPr>
                <w:rFonts w:hint="default" w:ascii="Times New Roman" w:hAnsi="Times New Roman" w:cs="Times New Roman"/>
                <w:color w:val="auto"/>
                <w:sz w:val="20"/>
                <w:szCs w:val="20"/>
                <w:lang w:val="uk-UA"/>
              </w:rPr>
              <w:t xml:space="preserve">Інформація про спосіб підтвердження відсутності підстав, визначених у пункті 47 Особливостей, надається згідно </w:t>
            </w:r>
            <w:r>
              <w:rPr>
                <w:rFonts w:hint="default" w:ascii="Times New Roman" w:hAnsi="Times New Roman" w:cs="Times New Roman"/>
                <w:b/>
                <w:bCs/>
                <w:color w:val="auto"/>
                <w:sz w:val="20"/>
                <w:szCs w:val="20"/>
                <w:lang w:val="uk-UA"/>
              </w:rPr>
              <w:t>Додатку №2 до тендерної документації</w:t>
            </w:r>
            <w:r>
              <w:rPr>
                <w:rFonts w:hint="default" w:ascii="Times New Roman" w:hAnsi="Times New Roman" w:cs="Times New Roman"/>
                <w:color w:val="auto"/>
                <w:sz w:val="20"/>
                <w:szCs w:val="20"/>
                <w:lang w:val="uk-UA"/>
              </w:rPr>
              <w:t xml:space="preserve">. </w:t>
            </w:r>
          </w:p>
          <w:p>
            <w:pPr>
              <w:keepNext w:val="0"/>
              <w:keepLines w:val="0"/>
              <w:pageBreakBefore w:val="0"/>
              <w:widowControl/>
              <w:shd w:val="clear" w:color="auto" w:fill="FFFFFF"/>
              <w:tabs>
                <w:tab w:val="left" w:pos="2977"/>
              </w:tabs>
              <w:kinsoku/>
              <w:wordWrap/>
              <w:overflowPunct/>
              <w:topLinePunct w:val="0"/>
              <w:autoSpaceDE/>
              <w:autoSpaceDN/>
              <w:bidi w:val="0"/>
              <w:adjustRightInd/>
              <w:snapToGrid/>
              <w:spacing w:after="0" w:line="240" w:lineRule="auto"/>
              <w:ind w:left="90" w:firstLine="289"/>
              <w:jc w:val="both"/>
              <w:textAlignment w:val="auto"/>
              <w:rPr>
                <w:rFonts w:hint="default" w:ascii="Times New Roman" w:hAnsi="Times New Roman" w:cs="Times New Roman"/>
                <w:b/>
                <w:color w:val="auto"/>
                <w:sz w:val="20"/>
                <w:szCs w:val="20"/>
                <w:lang w:val="uk-UA"/>
              </w:rPr>
            </w:pPr>
            <w:r>
              <w:rPr>
                <w:rFonts w:hint="default" w:ascii="Times New Roman" w:hAnsi="Times New Roman" w:cs="Times New Roman"/>
                <w:b/>
                <w:color w:val="auto"/>
                <w:sz w:val="20"/>
                <w:szCs w:val="20"/>
                <w:shd w:val="clear" w:color="auto" w:fill="FFFFFF"/>
                <w:lang w:val="uk-UA"/>
              </w:rPr>
              <w:t>Для об’єднання учасників</w:t>
            </w:r>
          </w:p>
          <w:p>
            <w:pPr>
              <w:pStyle w:val="192"/>
              <w:keepNext w:val="0"/>
              <w:keepLines w:val="0"/>
              <w:pageBreakBefore w:val="0"/>
              <w:widowControl/>
              <w:shd w:val="clear" w:color="auto" w:fill="FFFFFF" w:themeFill="background1"/>
              <w:kinsoku/>
              <w:wordWrap/>
              <w:overflowPunct/>
              <w:topLinePunct w:val="0"/>
              <w:autoSpaceDE/>
              <w:autoSpaceDN/>
              <w:bidi w:val="0"/>
              <w:adjustRightInd/>
              <w:snapToGrid/>
              <w:spacing w:before="0" w:after="0" w:line="260" w:lineRule="auto"/>
              <w:ind w:left="0" w:leftChars="0" w:firstLine="240" w:firstLineChars="120"/>
              <w:textAlignment w:val="auto"/>
              <w:rPr>
                <w:rFonts w:ascii="Times New Roman" w:hAnsi="Times New Roman"/>
                <w:color w:val="auto"/>
                <w:sz w:val="20"/>
                <w:szCs w:val="20"/>
                <w:highlight w:val="white"/>
                <w:lang w:val="uk-UA"/>
              </w:rPr>
            </w:pPr>
            <w:r>
              <w:rPr>
                <w:rFonts w:hint="default" w:ascii="Times New Roman" w:hAnsi="Times New Roman" w:cs="Times New Roman"/>
                <w:color w:val="auto"/>
                <w:sz w:val="20"/>
                <w:szCs w:val="20"/>
                <w:shd w:val="clear" w:color="auto" w:fill="FFFFFF"/>
                <w:lang w:val="uk-UA"/>
              </w:rPr>
              <w:t xml:space="preserve">У випадку якщо учасником процедури закупівлі є об’єднання учасників, то додатково  </w:t>
            </w:r>
            <w:r>
              <w:rPr>
                <w:rFonts w:hint="default" w:ascii="Times New Roman" w:hAnsi="Times New Roman" w:cs="Times New Roman"/>
                <w:b/>
                <w:color w:val="auto"/>
                <w:sz w:val="20"/>
                <w:szCs w:val="20"/>
                <w:shd w:val="clear" w:color="auto" w:fill="FFFFFF"/>
                <w:lang w:val="uk-UA"/>
              </w:rPr>
              <w:t>кожним з учасників такого об’єднання</w:t>
            </w:r>
            <w:r>
              <w:rPr>
                <w:rFonts w:hint="default" w:ascii="Times New Roman" w:hAnsi="Times New Roman" w:cs="Times New Roman"/>
                <w:color w:val="auto"/>
                <w:sz w:val="20"/>
                <w:szCs w:val="20"/>
                <w:shd w:val="clear" w:color="auto" w:fill="FFFFFF"/>
                <w:lang w:val="uk-UA"/>
              </w:rPr>
              <w:t xml:space="preserve"> надається окремий гарантійний лист та/або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r>
              <w:rPr>
                <w:rFonts w:hint="default" w:ascii="Times New Roman" w:hAnsi="Times New Roman" w:cs="Times New Roman"/>
                <w:iCs/>
                <w:color w:val="auto"/>
                <w:sz w:val="20"/>
                <w:szCs w:val="20"/>
                <w:shd w:val="clear" w:color="auto" w:fill="FFFFFF"/>
                <w:lang w:val="uk-UA"/>
              </w:rPr>
              <w:t>у п. 47 Особливостей</w:t>
            </w:r>
          </w:p>
        </w:tc>
      </w:tr>
      <w:tr>
        <w:tblPrEx>
          <w:tblCellMar>
            <w:top w:w="0" w:type="dxa"/>
            <w:left w:w="78" w:type="dxa"/>
            <w:bottom w:w="0" w:type="dxa"/>
            <w:right w:w="108" w:type="dxa"/>
          </w:tblCellMar>
        </w:tblPrEx>
        <w:tc>
          <w:tcPr>
            <w:tcW w:w="603"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color w:val="000000"/>
                <w:sz w:val="20"/>
                <w:szCs w:val="20"/>
              </w:rPr>
            </w:pPr>
            <w:r>
              <w:rPr>
                <w:b/>
                <w:bCs/>
                <w:color w:val="000000"/>
                <w:sz w:val="20"/>
                <w:szCs w:val="20"/>
              </w:rPr>
              <w:t>6.</w:t>
            </w:r>
          </w:p>
        </w:tc>
        <w:tc>
          <w:tcPr>
            <w:tcW w:w="2394"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Інформація про технічні, якісні та кількісні характеристики предмета закупівлі</w:t>
            </w:r>
          </w:p>
        </w:tc>
        <w:tc>
          <w:tcPr>
            <w:tcW w:w="7321"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sz w:val="20"/>
                <w:szCs w:val="20"/>
                <w:lang w:eastAsia="ru-RU"/>
              </w:rPr>
              <w:t xml:space="preserve">Вимоги до предмета закупівлі (технічні, якісні та кількісні характеристики) зазначено в </w:t>
            </w:r>
            <w:r>
              <w:rPr>
                <w:b/>
                <w:bCs/>
                <w:iCs/>
                <w:sz w:val="20"/>
                <w:szCs w:val="20"/>
                <w:lang w:eastAsia="ru-RU"/>
              </w:rPr>
              <w:t>Додатку 4</w:t>
            </w:r>
            <w:r>
              <w:rPr>
                <w:b/>
                <w:bCs/>
                <w:sz w:val="20"/>
                <w:szCs w:val="20"/>
                <w:lang w:eastAsia="ru-RU"/>
              </w:rPr>
              <w:t xml:space="preserve"> </w:t>
            </w:r>
            <w:r>
              <w:rPr>
                <w:sz w:val="20"/>
                <w:szCs w:val="20"/>
                <w:lang w:eastAsia="ru-RU"/>
              </w:rPr>
              <w:t>до цієї тендерної документації.</w:t>
            </w:r>
          </w:p>
        </w:tc>
      </w:tr>
      <w:tr>
        <w:tblPrEx>
          <w:tblCellMar>
            <w:top w:w="0" w:type="dxa"/>
            <w:left w:w="78" w:type="dxa"/>
            <w:bottom w:w="0" w:type="dxa"/>
            <w:right w:w="108" w:type="dxa"/>
          </w:tblCellMar>
        </w:tblPrEx>
        <w:trPr>
          <w:trHeight w:val="2358" w:hRule="atLeast"/>
        </w:trPr>
        <w:tc>
          <w:tcPr>
            <w:tcW w:w="603"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7.</w:t>
            </w:r>
          </w:p>
        </w:tc>
        <w:tc>
          <w:tcPr>
            <w:tcW w:w="2394"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spacing w:after="0" w:line="240" w:lineRule="auto"/>
              <w:rPr>
                <w:b/>
                <w:bCs/>
                <w:sz w:val="20"/>
                <w:szCs w:val="20"/>
              </w:rPr>
            </w:pPr>
            <w:r>
              <w:rPr>
                <w:b/>
                <w:bCs/>
                <w:sz w:val="20"/>
                <w:szCs w:val="20"/>
              </w:rPr>
              <w:t>Інформація про субпідрядника (у випадку закупівлі робіт</w:t>
            </w:r>
            <w:r>
              <w:rPr>
                <w:rFonts w:hint="default"/>
                <w:b/>
                <w:bCs/>
                <w:sz w:val="20"/>
                <w:szCs w:val="20"/>
                <w:lang w:val="uk"/>
              </w:rPr>
              <w:t xml:space="preserve"> </w:t>
            </w:r>
            <w:r>
              <w:rPr>
                <w:b/>
                <w:bCs/>
                <w:sz w:val="20"/>
                <w:szCs w:val="20"/>
                <w:lang w:val="uk"/>
              </w:rPr>
              <w:t>чи</w:t>
            </w:r>
            <w:r>
              <w:rPr>
                <w:rFonts w:hint="default"/>
                <w:b/>
                <w:bCs/>
                <w:sz w:val="20"/>
                <w:szCs w:val="20"/>
                <w:lang w:val="uk"/>
              </w:rPr>
              <w:t xml:space="preserve"> послуг</w:t>
            </w:r>
            <w:r>
              <w:rPr>
                <w:b/>
                <w:bCs/>
                <w:sz w:val="20"/>
                <w:szCs w:val="20"/>
              </w:rPr>
              <w:t>)</w:t>
            </w:r>
          </w:p>
        </w:tc>
        <w:tc>
          <w:tcPr>
            <w:tcW w:w="7321" w:type="dxa"/>
            <w:tcBorders>
              <w:top w:val="thickThinSmallGap" w:color="BFBFBF" w:sz="12" w:space="0"/>
              <w:left w:val="thickThinSmallGap" w:color="BFBFBF" w:sz="12" w:space="0"/>
              <w:bottom w:val="thickThinSmallGap" w:color="BFBFBF" w:sz="12" w:space="0"/>
              <w:right w:val="thickThinSmallGap" w:color="BFBFBF" w:sz="12" w:space="0"/>
            </w:tcBorders>
            <w:shd w:val="clear" w:color="auto" w:fill="auto"/>
            <w:vAlign w:val="center"/>
          </w:tcPr>
          <w:p>
            <w:pPr>
              <w:keepNext w:val="0"/>
              <w:keepLines w:val="0"/>
              <w:pageBreakBefore w:val="0"/>
              <w:widowControl/>
              <w:shd w:val="clear" w:color="auto" w:fill="FFFFFF" w:themeFill="background1"/>
              <w:kinsoku/>
              <w:wordWrap/>
              <w:overflowPunct/>
              <w:topLinePunct w:val="0"/>
              <w:autoSpaceDE/>
              <w:autoSpaceDN/>
              <w:bidi w:val="0"/>
              <w:adjustRightInd/>
              <w:snapToGrid/>
              <w:spacing w:after="0"/>
              <w:ind w:left="0" w:leftChars="0" w:firstLine="240" w:firstLineChars="120"/>
              <w:jc w:val="both"/>
              <w:textAlignment w:val="auto"/>
              <w:rPr>
                <w:sz w:val="20"/>
                <w:szCs w:val="20"/>
                <w:lang w:val="uk-UA"/>
              </w:rPr>
            </w:pPr>
            <w:r>
              <w:rPr>
                <w:sz w:val="20"/>
                <w:szCs w:val="20"/>
                <w:highlight w:val="white"/>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w:t>
            </w:r>
            <w:r>
              <w:rPr>
                <w:sz w:val="20"/>
                <w:szCs w:val="20"/>
                <w:lang w:val="uk-UA"/>
              </w:rPr>
              <w:t>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 47 Особливостей.</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40" w:firstLineChars="120"/>
              <w:jc w:val="both"/>
              <w:textAlignment w:val="auto"/>
              <w:rPr>
                <w:color w:val="262626" w:themeColor="text1" w:themeTint="D9"/>
                <w:sz w:val="20"/>
                <w:szCs w:val="20"/>
                <w14:textFill>
                  <w14:solidFill>
                    <w14:schemeClr w14:val="tx1">
                      <w14:lumMod w14:val="85000"/>
                      <w14:lumOff w14:val="15000"/>
                    </w14:schemeClr>
                  </w14:solidFill>
                </w14:textFill>
              </w:rPr>
            </w:pPr>
            <w:r>
              <w:rPr>
                <w:b w:val="0"/>
                <w:bCs/>
                <w:sz w:val="20"/>
                <w:szCs w:val="20"/>
                <w:u w:val="none"/>
                <w:lang w:val="uk-UA"/>
              </w:rPr>
              <w:t>УЧАСНИК має надати по кожному із  субпідрядників/ співвиконавців підтвердження відсутності підстав для відмови в участі у процедурі закупівлі відповідн</w:t>
            </w:r>
            <w:r>
              <w:rPr>
                <w:b w:val="0"/>
                <w:bCs/>
                <w:color w:val="auto"/>
                <w:sz w:val="20"/>
                <w:szCs w:val="20"/>
                <w:u w:val="none"/>
                <w:lang w:val="uk-UA"/>
              </w:rPr>
              <w:t>о до Додатку №2 Зразок №1 тендерної документації (в складі тендерної пропозиції).</w:t>
            </w:r>
          </w:p>
        </w:tc>
      </w:tr>
      <w:tr>
        <w:tblPrEx>
          <w:tblCellMar>
            <w:top w:w="0" w:type="dxa"/>
            <w:left w:w="78" w:type="dxa"/>
            <w:bottom w:w="0" w:type="dxa"/>
            <w:right w:w="108" w:type="dxa"/>
          </w:tblCellMar>
        </w:tblPrEx>
        <w:tc>
          <w:tcPr>
            <w:tcW w:w="603" w:type="dxa"/>
            <w:tcBorders>
              <w:top w:val="thickThinSmallGap" w:color="BFBFBF"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8.  </w:t>
            </w:r>
          </w:p>
        </w:tc>
        <w:tc>
          <w:tcPr>
            <w:tcW w:w="2394" w:type="dxa"/>
            <w:tcBorders>
              <w:top w:val="thickThinSmallGap" w:color="BFBFBF"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Унесення змін або відкликання тендерної пропозиції учасником</w:t>
            </w:r>
          </w:p>
        </w:tc>
        <w:tc>
          <w:tcPr>
            <w:tcW w:w="7321" w:type="dxa"/>
            <w:tcBorders>
              <w:top w:val="thickThinSmallGap" w:color="BFBFBF"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78" w:type="dxa"/>
            <w:bottom w:w="0" w:type="dxa"/>
            <w:right w:w="108" w:type="dxa"/>
          </w:tblCellMar>
        </w:tblPrEx>
        <w:trPr>
          <w:trHeight w:val="263"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IV. Подання та розкриття тендерної пропозиції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Кінцевий строк подання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keepNext w:val="0"/>
              <w:keepLines w:val="0"/>
              <w:pageBreakBefore w:val="0"/>
              <w:shd w:val="clear" w:color="auto" w:fill="FFFFFF" w:themeFill="background1"/>
              <w:tabs>
                <w:tab w:val="left" w:pos="2977"/>
              </w:tabs>
              <w:kinsoku/>
              <w:wordWrap/>
              <w:overflowPunct/>
              <w:topLinePunct w:val="0"/>
              <w:autoSpaceDE/>
              <w:autoSpaceDN/>
              <w:bidi w:val="0"/>
              <w:adjustRightInd/>
              <w:snapToGrid/>
              <w:spacing w:after="0"/>
              <w:ind w:left="0" w:leftChars="0" w:firstLine="240" w:firstLineChars="0"/>
              <w:jc w:val="both"/>
              <w:textAlignment w:val="auto"/>
              <w:rPr>
                <w:b w:val="0"/>
                <w:bCs w:val="0"/>
                <w:i w:val="0"/>
                <w:iCs w:val="0"/>
                <w:color w:val="auto"/>
                <w:sz w:val="20"/>
                <w:szCs w:val="20"/>
                <w:lang w:val="uk-UA"/>
              </w:rPr>
            </w:pPr>
            <w:r>
              <w:rPr>
                <w:b w:val="0"/>
                <w:bCs w:val="0"/>
                <w:i w:val="0"/>
                <w:iCs w:val="0"/>
                <w:color w:val="auto"/>
                <w:sz w:val="20"/>
                <w:szCs w:val="20"/>
                <w:shd w:val="clear" w:color="auto" w:fill="FFFFFF"/>
              </w:rPr>
              <w:t>Кінцевий строк подання тендерних пропозицій</w:t>
            </w:r>
            <w:r>
              <w:rPr>
                <w:rFonts w:hint="default"/>
                <w:b w:val="0"/>
                <w:bCs w:val="0"/>
                <w:i w:val="0"/>
                <w:iCs w:val="0"/>
                <w:color w:val="auto"/>
                <w:sz w:val="20"/>
                <w:szCs w:val="20"/>
                <w:shd w:val="clear" w:color="auto" w:fill="FFFFFF"/>
                <w:lang w:val="uk"/>
              </w:rPr>
              <w:t>:  23</w:t>
            </w:r>
            <w:r>
              <w:rPr>
                <w:rFonts w:hint="default"/>
                <w:b w:val="0"/>
                <w:bCs w:val="0"/>
                <w:i w:val="0"/>
                <w:iCs w:val="0"/>
                <w:color w:val="auto"/>
                <w:sz w:val="20"/>
                <w:szCs w:val="20"/>
                <w:lang w:val="uk"/>
              </w:rPr>
              <w:t>.02.2024</w:t>
            </w:r>
            <w:r>
              <w:rPr>
                <w:b w:val="0"/>
                <w:bCs w:val="0"/>
                <w:i w:val="0"/>
                <w:iCs w:val="0"/>
                <w:color w:val="auto"/>
                <w:sz w:val="20"/>
                <w:szCs w:val="20"/>
                <w:lang w:val="uk-UA"/>
              </w:rPr>
              <w:t xml:space="preserve"> року</w:t>
            </w:r>
          </w:p>
          <w:p>
            <w:pPr>
              <w:keepNext w:val="0"/>
              <w:keepLines w:val="0"/>
              <w:pageBreakBefore w:val="0"/>
              <w:shd w:val="clear" w:color="auto" w:fill="FFFFFF" w:themeFill="background1"/>
              <w:tabs>
                <w:tab w:val="left" w:pos="2977"/>
              </w:tabs>
              <w:kinsoku/>
              <w:wordWrap/>
              <w:overflowPunct/>
              <w:topLinePunct w:val="0"/>
              <w:autoSpaceDE/>
              <w:autoSpaceDN/>
              <w:bidi w:val="0"/>
              <w:adjustRightInd/>
              <w:snapToGrid/>
              <w:spacing w:after="0"/>
              <w:ind w:left="0" w:leftChars="0" w:firstLine="240" w:firstLineChars="0"/>
              <w:jc w:val="both"/>
              <w:textAlignment w:val="auto"/>
              <w:rPr>
                <w:rFonts w:ascii="Times New Roman" w:hAnsi="Times New Roman" w:eastAsia="Times New Roman" w:cs="Times New Roman"/>
                <w:i/>
                <w:color w:val="auto"/>
                <w:sz w:val="20"/>
                <w:szCs w:val="20"/>
                <w:highlight w:val="white"/>
              </w:rPr>
            </w:pPr>
            <w:r>
              <w:rPr>
                <w:rFonts w:ascii="Times New Roman" w:hAnsi="Times New Roman" w:eastAsia="Times New Roman" w:cs="Times New Roman"/>
                <w:i/>
                <w:color w:val="auto"/>
                <w:sz w:val="20"/>
                <w:szCs w:val="20"/>
                <w:highlight w:val="white"/>
                <w:rtl w:val="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240" w:firstLineChars="120"/>
              <w:jc w:val="both"/>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Отримана тендерна пропозиція вноситься автоматично до реєстру отриманих тендерних пропозицій.</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rtl w:val="0"/>
              </w:rPr>
              <w:t>Тендерні пропозиції після закінчення кінцевого строку їх подання не приймаються електронною системою закупівель.</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tcBorders>
            <w:shd w:val="clear" w:color="auto" w:fill="auto"/>
            <w:vAlign w:val="center"/>
          </w:tcPr>
          <w:p>
            <w:pPr>
              <w:spacing w:after="0" w:line="240" w:lineRule="auto"/>
              <w:rPr>
                <w:b/>
                <w:bCs/>
                <w:sz w:val="20"/>
                <w:szCs w:val="20"/>
              </w:rPr>
            </w:pPr>
            <w:r>
              <w:rPr>
                <w:b/>
                <w:bCs/>
                <w:sz w:val="20"/>
                <w:szCs w:val="20"/>
              </w:rPr>
              <w:t>Дата та час розкриття тендерної пропозиції</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ind w:left="0" w:leftChars="0" w:firstLine="240" w:firstLineChars="120"/>
              <w:jc w:val="both"/>
              <w:rPr>
                <w:color w:val="262626" w:themeColor="text1" w:themeTint="D9"/>
                <w:sz w:val="20"/>
                <w:szCs w:val="20"/>
                <w14:textFill>
                  <w14:solidFill>
                    <w14:schemeClr w14:val="tx1">
                      <w14:lumMod w14:val="85000"/>
                      <w14:lumOff w14:val="15000"/>
                    </w14:schemeClr>
                  </w14:solidFill>
                </w14:textFill>
              </w:rPr>
            </w:pPr>
            <w:r>
              <w:rPr>
                <w:rFonts w:ascii="Times New Roman" w:hAnsi="Times New Roman" w:eastAsia="Times New Roman" w:cs="Times New Roman"/>
                <w:sz w:val="20"/>
                <w:szCs w:val="20"/>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sz w:val="20"/>
                <w:szCs w:val="20"/>
              </w:rPr>
              <w:fldChar w:fldCharType="begin"/>
            </w:r>
            <w:r>
              <w:rPr>
                <w:sz w:val="20"/>
                <w:szCs w:val="20"/>
              </w:rPr>
              <w:instrText xml:space="preserve"> HYPERLINK "https://zakon.rada.gov.ua/laws/show/1178-2022-%D0%BF#n159" \h </w:instrText>
            </w:r>
            <w:r>
              <w:rPr>
                <w:sz w:val="20"/>
                <w:szCs w:val="20"/>
              </w:rPr>
              <w:fldChar w:fldCharType="separate"/>
            </w:r>
            <w:r>
              <w:rPr>
                <w:rFonts w:ascii="Times New Roman" w:hAnsi="Times New Roman" w:eastAsia="Times New Roman" w:cs="Times New Roman"/>
                <w:sz w:val="20"/>
                <w:szCs w:val="20"/>
                <w:highlight w:val="white"/>
                <w:rtl w:val="0"/>
              </w:rPr>
              <w:t>47</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 xml:space="preserve"> Особливостей.</w:t>
            </w:r>
          </w:p>
        </w:tc>
      </w:tr>
    </w:tbl>
    <w:p>
      <w:pPr>
        <w:sectPr>
          <w:headerReference r:id="rId6" w:type="first"/>
          <w:footerReference r:id="rId8" w:type="first"/>
          <w:headerReference r:id="rId5" w:type="default"/>
          <w:footerReference r:id="rId7" w:type="default"/>
          <w:pgSz w:w="11906" w:h="16838"/>
          <w:pgMar w:top="596" w:right="465" w:bottom="766" w:left="902" w:header="539" w:footer="709" w:gutter="0"/>
          <w:cols w:space="720" w:num="1"/>
          <w:formProt w:val="0"/>
          <w:titlePg/>
          <w:docGrid w:linePitch="360" w:charSpace="0"/>
        </w:sectPr>
      </w:pPr>
    </w:p>
    <w:tbl>
      <w:tblPr>
        <w:tblStyle w:val="6"/>
        <w:tblW w:w="10318" w:type="dxa"/>
        <w:tblInd w:w="0" w:type="dxa"/>
        <w:tblLayout w:type="autofit"/>
        <w:tblCellMar>
          <w:top w:w="0" w:type="dxa"/>
          <w:left w:w="78" w:type="dxa"/>
          <w:bottom w:w="0" w:type="dxa"/>
          <w:right w:w="108" w:type="dxa"/>
        </w:tblCellMar>
      </w:tblPr>
      <w:tblGrid>
        <w:gridCol w:w="603"/>
        <w:gridCol w:w="2394"/>
        <w:gridCol w:w="7321"/>
      </w:tblGrid>
      <w:tr>
        <w:tblPrEx>
          <w:tblCellMar>
            <w:top w:w="0" w:type="dxa"/>
            <w:left w:w="78" w:type="dxa"/>
            <w:bottom w:w="0" w:type="dxa"/>
            <w:right w:w="108" w:type="dxa"/>
          </w:tblCellMar>
        </w:tblPrEx>
        <w:trPr>
          <w:trHeight w:val="233"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jc w:val="both"/>
              <w:rPr>
                <w:rFonts w:hint="default"/>
                <w:b/>
                <w:bCs/>
                <w:color w:val="262626" w:themeColor="text1" w:themeTint="D9"/>
                <w:sz w:val="20"/>
                <w:szCs w:val="20"/>
                <w:lang w:val="uk-UA"/>
                <w14:textFill>
                  <w14:solidFill>
                    <w14:schemeClr w14:val="tx1">
                      <w14:lumMod w14:val="85000"/>
                      <w14:lumOff w14:val="15000"/>
                    </w14:schemeClr>
                  </w14:solidFill>
                </w14:textFill>
              </w:rPr>
            </w:pPr>
            <w:r>
              <w:rPr>
                <w:b/>
                <w:bCs/>
                <w:color w:val="262626" w:themeColor="text1" w:themeTint="D9"/>
                <w:sz w:val="20"/>
                <w:szCs w:val="20"/>
                <w14:textFill>
                  <w14:solidFill>
                    <w14:schemeClr w14:val="tx1">
                      <w14:lumMod w14:val="85000"/>
                      <w14:lumOff w14:val="15000"/>
                    </w14:schemeClr>
                  </w14:solidFill>
                </w14:textFill>
              </w:rPr>
              <w:t>V. Оцінка тендерної пропозиці</w:t>
            </w:r>
            <w:r>
              <w:rPr>
                <w:b/>
                <w:bCs/>
                <w:color w:val="262626" w:themeColor="text1" w:themeTint="D9"/>
                <w:sz w:val="20"/>
                <w:szCs w:val="20"/>
                <w:lang w:val="uk-UA"/>
                <w14:textFill>
                  <w14:solidFill>
                    <w14:schemeClr w14:val="tx1">
                      <w14:lumMod w14:val="85000"/>
                      <w14:lumOff w14:val="15000"/>
                    </w14:schemeClr>
                  </w14:solidFill>
                </w14:textFill>
              </w:rPr>
              <w:t>ї</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Перелік критеріїв та методика оцінки тендерної пропозиції із зазначенням питомої ваги критерію</w:t>
            </w:r>
          </w:p>
          <w:p>
            <w:pPr>
              <w:spacing w:after="0" w:line="240" w:lineRule="auto"/>
              <w:rPr>
                <w:b/>
                <w:bCs/>
                <w:sz w:val="20"/>
                <w:szCs w:val="20"/>
              </w:rPr>
            </w:pPr>
          </w:p>
          <w:p>
            <w:pPr>
              <w:spacing w:after="0" w:line="240" w:lineRule="auto"/>
              <w:rPr>
                <w:b/>
                <w:bCs/>
                <w:sz w:val="20"/>
                <w:szCs w:val="20"/>
              </w:rPr>
            </w:pP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rPr>
                <w:sz w:val="20"/>
                <w:szCs w:val="20"/>
              </w:rPr>
              <w:fldChar w:fldCharType="begin"/>
            </w:r>
            <w:r>
              <w:rPr>
                <w:sz w:val="20"/>
                <w:szCs w:val="20"/>
              </w:rPr>
              <w:instrText xml:space="preserve"> HYPERLINK "https://zakon.rada.gov.ua/laws/show/922-19#n1553" \h </w:instrText>
            </w:r>
            <w:r>
              <w:rPr>
                <w:sz w:val="20"/>
                <w:szCs w:val="20"/>
              </w:rPr>
              <w:fldChar w:fldCharType="separate"/>
            </w:r>
            <w:r>
              <w:rPr>
                <w:rFonts w:ascii="Times New Roman" w:hAnsi="Times New Roman" w:eastAsia="Times New Roman" w:cs="Times New Roman"/>
                <w:sz w:val="20"/>
                <w:szCs w:val="20"/>
                <w:highlight w:val="white"/>
                <w:rtl w:val="0"/>
              </w:rPr>
              <w:t>шістнадцятої</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Критерії та методика оцінки визначаються відповідно до статті 29 Закону.</w:t>
            </w:r>
          </w:p>
          <w:p>
            <w:pPr>
              <w:widowControl w:val="0"/>
              <w:spacing w:before="0" w:after="0" w:line="240" w:lineRule="auto"/>
              <w:ind w:left="0" w:leftChars="0" w:firstLine="240" w:firstLineChars="12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ind w:left="0" w:leftChars="0" w:firstLine="240" w:firstLineChars="12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(у разі якщо подано дві і більше тендерних пропозицій).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w:t>
            </w:r>
            <w:r>
              <w:rPr>
                <w:rFonts w:hint="default" w:eastAsia="Times New Roman" w:cs="Times New Roman"/>
                <w:sz w:val="20"/>
                <w:szCs w:val="20"/>
                <w:highlight w:val="white"/>
                <w:rtl w:val="0"/>
                <w:lang w:val="uk-UA"/>
              </w:rPr>
              <w:t xml:space="preserve"> - </w:t>
            </w:r>
            <w:r>
              <w:rPr>
                <w:rFonts w:ascii="Times New Roman" w:hAnsi="Times New Roman" w:eastAsia="Times New Roman" w:cs="Times New Roman"/>
                <w:sz w:val="20"/>
                <w:szCs w:val="20"/>
                <w:highlight w:val="white"/>
                <w:rtl w:val="0"/>
              </w:rPr>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highlight w:val="white"/>
                <w:rtl w:val="0"/>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hAnsi="Times New Roman" w:eastAsia="Times New Roman" w:cs="Times New Roman"/>
                <w:b/>
                <w:bCs/>
                <w:color w:val="auto"/>
                <w:sz w:val="20"/>
                <w:szCs w:val="20"/>
                <w:highlight w:val="white"/>
                <w:rtl w:val="0"/>
              </w:rPr>
              <w:t>п’яти робочих</w:t>
            </w:r>
            <w:r>
              <w:rPr>
                <w:rFonts w:ascii="Times New Roman" w:hAnsi="Times New Roman" w:eastAsia="Times New Roman" w:cs="Times New Roman"/>
                <w:sz w:val="20"/>
                <w:szCs w:val="20"/>
                <w:highlight w:val="white"/>
                <w:rtl w:val="0"/>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tabs>
                <w:tab w:val="left" w:pos="2977"/>
              </w:tabs>
              <w:ind w:left="0" w:leftChars="0" w:firstLine="240" w:firstLineChars="120"/>
              <w:jc w:val="both"/>
              <w:rPr>
                <w:sz w:val="20"/>
                <w:szCs w:val="20"/>
                <w:highlight w:val="magenta"/>
                <w:lang w:val="uk-UA"/>
              </w:rPr>
            </w:pPr>
            <w:r>
              <w:rPr>
                <w:sz w:val="20"/>
                <w:szCs w:val="20"/>
                <w:lang w:val="uk-UA"/>
              </w:rPr>
              <w:t>Ціна тендерної пропозиції</w:t>
            </w:r>
            <w:r>
              <w:rPr>
                <w:color w:val="auto"/>
                <w:sz w:val="20"/>
                <w:szCs w:val="20"/>
                <w:lang w:val="uk-UA"/>
              </w:rPr>
              <w:t xml:space="preserve"> </w:t>
            </w:r>
            <w:r>
              <w:rPr>
                <w:b/>
                <w:color w:val="auto"/>
                <w:sz w:val="20"/>
                <w:szCs w:val="20"/>
                <w:lang w:val="uk-UA"/>
              </w:rPr>
              <w:t>не може перевищувати</w:t>
            </w:r>
            <w:r>
              <w:rPr>
                <w:b/>
                <w:color w:val="953735" w:themeColor="accent2" w:themeShade="BF"/>
                <w:sz w:val="20"/>
                <w:szCs w:val="20"/>
                <w:lang w:val="uk-UA"/>
              </w:rPr>
              <w:t xml:space="preserve"> </w:t>
            </w:r>
            <w:r>
              <w:rPr>
                <w:sz w:val="20"/>
                <w:szCs w:val="20"/>
                <w:lang w:val="uk-UA"/>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ind w:left="0" w:leftChars="0" w:firstLine="240" w:firstLineChars="120"/>
              <w:jc w:val="both"/>
              <w:rPr>
                <w:sz w:val="20"/>
                <w:szCs w:val="20"/>
                <w:lang w:val="uk-UA"/>
              </w:rPr>
            </w:pPr>
            <w:r>
              <w:rPr>
                <w:sz w:val="20"/>
                <w:szCs w:val="20"/>
                <w:lang w:val="uk-UA"/>
              </w:rPr>
              <w:t xml:space="preserve">До розгляду </w:t>
            </w:r>
            <w:r>
              <w:rPr>
                <w:b/>
                <w:color w:val="auto"/>
                <w:sz w:val="20"/>
                <w:szCs w:val="20"/>
                <w:u w:val="single"/>
                <w:lang w:val="uk-UA"/>
              </w:rPr>
              <w:t>не</w:t>
            </w:r>
            <w:r>
              <w:rPr>
                <w:color w:val="auto"/>
                <w:sz w:val="20"/>
                <w:szCs w:val="20"/>
                <w:u w:val="single"/>
                <w:lang w:val="uk-UA"/>
              </w:rPr>
              <w:t xml:space="preserve"> </w:t>
            </w:r>
            <w:r>
              <w:rPr>
                <w:b/>
                <w:color w:val="auto"/>
                <w:sz w:val="20"/>
                <w:szCs w:val="20"/>
                <w:u w:val="single"/>
                <w:lang w:val="uk-UA"/>
              </w:rPr>
              <w:t>приймається тендерна пропозиція, ціна якої є вищою ніж очікувана вартість предмета</w:t>
            </w:r>
            <w:r>
              <w:rPr>
                <w:color w:val="auto"/>
                <w:sz w:val="20"/>
                <w:szCs w:val="20"/>
                <w:u w:val="single"/>
                <w:lang w:val="uk-UA"/>
              </w:rPr>
              <w:t xml:space="preserve"> закупівлі, визначена замо</w:t>
            </w:r>
            <w:r>
              <w:rPr>
                <w:sz w:val="20"/>
                <w:szCs w:val="20"/>
                <w:lang w:val="uk-UA"/>
              </w:rPr>
              <w:t>вником в оголошенні про проведення відкритих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Оцінка тендерних пропозицій здійснюється на основі критерію „Ціна”. Питома вага – 100 %.</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none"/>
                <w:rtl w:val="0"/>
              </w:rPr>
            </w:pPr>
            <w:r>
              <w:rPr>
                <w:rFonts w:ascii="Times New Roman" w:hAnsi="Times New Roman" w:eastAsia="Times New Roman" w:cs="Times New Roman"/>
                <w:sz w:val="20"/>
                <w:szCs w:val="20"/>
                <w:highlight w:val="none"/>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ind w:left="0" w:leftChars="0" w:firstLine="240" w:firstLineChars="120"/>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Оцінка здійснюється щодо предмета закупівлі в цілому.</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none"/>
                <w:rtl w:val="0"/>
              </w:rPr>
            </w:pPr>
            <w:r>
              <w:rPr>
                <w:rFonts w:ascii="Times New Roman" w:hAnsi="Times New Roman" w:eastAsia="Times New Roman" w:cs="Times New Roman"/>
                <w:color w:val="auto"/>
                <w:sz w:val="20"/>
                <w:szCs w:val="20"/>
                <w:highlight w:val="none"/>
                <w:rtl w:val="0"/>
              </w:rPr>
              <w:t>Учасник визначає цін</w:t>
            </w:r>
            <w:r>
              <w:rPr>
                <w:rFonts w:ascii="Times New Roman" w:hAnsi="Times New Roman" w:eastAsia="Times New Roman" w:cs="Times New Roman"/>
                <w:color w:val="auto"/>
                <w:sz w:val="20"/>
                <w:szCs w:val="20"/>
                <w:highlight w:val="none"/>
                <w:rtl w:val="0"/>
                <w:lang w:val="uk"/>
              </w:rPr>
              <w:t>у</w:t>
            </w:r>
            <w:r>
              <w:rPr>
                <w:rFonts w:ascii="Times New Roman" w:hAnsi="Times New Roman" w:eastAsia="Times New Roman" w:cs="Times New Roman"/>
                <w:color w:val="auto"/>
                <w:sz w:val="20"/>
                <w:szCs w:val="20"/>
                <w:highlight w:val="none"/>
                <w:rtl w:val="0"/>
              </w:rPr>
              <w:t xml:space="preserve"> на </w:t>
            </w:r>
            <w:r>
              <w:rPr>
                <w:rFonts w:ascii="Times New Roman" w:hAnsi="Times New Roman" w:eastAsia="Times New Roman" w:cs="Times New Roman"/>
                <w:b/>
                <w:color w:val="auto"/>
                <w:sz w:val="20"/>
                <w:szCs w:val="20"/>
                <w:highlight w:val="none"/>
                <w:rtl w:val="0"/>
              </w:rPr>
              <w:t>послуги</w:t>
            </w:r>
            <w:r>
              <w:rPr>
                <w:rFonts w:ascii="Times New Roman" w:hAnsi="Times New Roman" w:eastAsia="Times New Roman" w:cs="Times New Roman"/>
                <w:color w:val="auto"/>
                <w:sz w:val="20"/>
                <w:szCs w:val="20"/>
                <w:highlight w:val="none"/>
                <w:rtl w:val="0"/>
              </w:rPr>
              <w:t xml:space="preserve">, що він пропонує </w:t>
            </w:r>
            <w:r>
              <w:rPr>
                <w:rFonts w:ascii="Times New Roman" w:hAnsi="Times New Roman" w:eastAsia="Times New Roman" w:cs="Times New Roman"/>
                <w:b/>
                <w:color w:val="auto"/>
                <w:sz w:val="20"/>
                <w:szCs w:val="20"/>
                <w:highlight w:val="none"/>
                <w:rtl w:val="0"/>
              </w:rPr>
              <w:t>надати</w:t>
            </w:r>
            <w:r>
              <w:rPr>
                <w:rFonts w:ascii="Times New Roman" w:hAnsi="Times New Roman" w:eastAsia="Times New Roman" w:cs="Times New Roman"/>
                <w:color w:val="auto"/>
                <w:sz w:val="20"/>
                <w:szCs w:val="20"/>
                <w:highlight w:val="none"/>
                <w:rtl w:val="0"/>
              </w:rPr>
              <w:t xml:space="preserve"> за</w:t>
            </w:r>
            <w:r>
              <w:rPr>
                <w:rFonts w:ascii="Times New Roman" w:hAnsi="Times New Roman" w:eastAsia="Times New Roman" w:cs="Times New Roman"/>
                <w:sz w:val="20"/>
                <w:szCs w:val="20"/>
                <w:highlight w:val="none"/>
                <w:rtl w:val="0"/>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w:t>
            </w:r>
            <w:r>
              <w:rPr>
                <w:rFonts w:ascii="Times New Roman" w:hAnsi="Times New Roman" w:eastAsia="Times New Roman" w:cs="Times New Roman"/>
                <w:color w:val="auto"/>
                <w:sz w:val="20"/>
                <w:szCs w:val="20"/>
                <w:highlight w:val="none"/>
                <w:rtl w:val="0"/>
              </w:rPr>
              <w:t xml:space="preserve">ля </w:t>
            </w:r>
            <w:r>
              <w:rPr>
                <w:rFonts w:ascii="Times New Roman" w:hAnsi="Times New Roman" w:eastAsia="Times New Roman" w:cs="Times New Roman"/>
                <w:b/>
                <w:color w:val="auto"/>
                <w:sz w:val="20"/>
                <w:szCs w:val="20"/>
                <w:highlight w:val="none"/>
                <w:rtl w:val="0"/>
              </w:rPr>
              <w:t>послуг</w:t>
            </w:r>
            <w:r>
              <w:rPr>
                <w:rFonts w:ascii="Times New Roman" w:hAnsi="Times New Roman" w:eastAsia="Times New Roman" w:cs="Times New Roman"/>
                <w:color w:val="auto"/>
                <w:sz w:val="20"/>
                <w:szCs w:val="20"/>
                <w:highlight w:val="none"/>
                <w:rtl w:val="0"/>
              </w:rPr>
              <w:t xml:space="preserve"> даного </w:t>
            </w:r>
            <w:r>
              <w:rPr>
                <w:rFonts w:ascii="Times New Roman" w:hAnsi="Times New Roman" w:eastAsia="Times New Roman" w:cs="Times New Roman"/>
                <w:sz w:val="20"/>
                <w:szCs w:val="20"/>
                <w:highlight w:val="none"/>
                <w:rtl w:val="0"/>
              </w:rPr>
              <w:t>виду.</w:t>
            </w:r>
          </w:p>
          <w:p>
            <w:pPr>
              <w:widowControl w:val="0"/>
              <w:spacing w:before="0" w:after="0" w:line="240" w:lineRule="auto"/>
              <w:ind w:left="0" w:leftChars="0" w:firstLine="240" w:firstLineChars="120"/>
              <w:jc w:val="both"/>
              <w:rPr>
                <w:rFonts w:ascii="Times New Roman" w:hAnsi="Times New Roman" w:eastAsia="Times New Roman" w:cs="Times New Roman"/>
                <w:b/>
                <w:bCs/>
                <w:color w:val="auto"/>
                <w:sz w:val="20"/>
                <w:szCs w:val="20"/>
                <w:highlight w:val="none"/>
                <w:rtl w:val="0"/>
              </w:rPr>
            </w:pPr>
            <w:r>
              <w:rPr>
                <w:rFonts w:ascii="Times New Roman" w:hAnsi="Times New Roman" w:eastAsia="Times New Roman" w:cs="Times New Roman"/>
                <w:b/>
                <w:bCs/>
                <w:color w:val="auto"/>
                <w:sz w:val="20"/>
                <w:szCs w:val="20"/>
                <w:highlight w:val="none"/>
                <w:rtl w:val="0"/>
              </w:rPr>
              <w:t xml:space="preserve">Розмір мінімального кроку пониження ціни під час електронного аукціону – </w:t>
            </w:r>
            <w:r>
              <w:rPr>
                <w:rFonts w:hint="default" w:eastAsia="Times New Roman" w:cs="Times New Roman"/>
                <w:b/>
                <w:bCs/>
                <w:color w:val="auto"/>
                <w:sz w:val="20"/>
                <w:szCs w:val="20"/>
                <w:highlight w:val="none"/>
                <w:rtl w:val="0"/>
                <w:lang w:val="uk-UA"/>
              </w:rPr>
              <w:t>0,5</w:t>
            </w:r>
            <w:r>
              <w:rPr>
                <w:rFonts w:ascii="Times New Roman" w:hAnsi="Times New Roman" w:eastAsia="Times New Roman" w:cs="Times New Roman"/>
                <w:b/>
                <w:bCs/>
                <w:color w:val="auto"/>
                <w:sz w:val="20"/>
                <w:szCs w:val="20"/>
                <w:highlight w:val="none"/>
                <w:rtl w:val="0"/>
              </w:rPr>
              <w:t xml:space="preserve"> %</w:t>
            </w:r>
          </w:p>
          <w:p>
            <w:pPr>
              <w:spacing w:after="0" w:line="240" w:lineRule="auto"/>
              <w:ind w:left="0" w:leftChars="0" w:firstLine="240" w:firstLineChars="120"/>
              <w:jc w:val="both"/>
              <w:rPr>
                <w:color w:val="auto"/>
                <w:sz w:val="20"/>
                <w:szCs w:val="20"/>
              </w:rPr>
            </w:pPr>
            <w:r>
              <w:rPr>
                <w:color w:val="auto"/>
                <w:sz w:val="20"/>
                <w:szCs w:val="20"/>
              </w:rPr>
              <w:t xml:space="preserve">Учасник подає свою цінову пропозицію (згідно наведеної форми в </w:t>
            </w:r>
            <w:r>
              <w:rPr>
                <w:b/>
                <w:bCs/>
                <w:color w:val="auto"/>
                <w:sz w:val="20"/>
                <w:szCs w:val="20"/>
              </w:rPr>
              <w:t>Додатку5</w:t>
            </w:r>
            <w:r>
              <w:rPr>
                <w:color w:val="auto"/>
                <w:sz w:val="20"/>
                <w:szCs w:val="20"/>
              </w:rPr>
              <w:t xml:space="preserve"> до цієї тендерної документації).</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eastAsia="Times New Roman" w:cs="Times New Roman"/>
                <w:b/>
                <w:bCs/>
                <w:sz w:val="20"/>
                <w:szCs w:val="20"/>
                <w:highlight w:val="white"/>
                <w:rtl w:val="0"/>
              </w:rPr>
              <w:t>два робочі дні</w:t>
            </w:r>
            <w:r>
              <w:rPr>
                <w:rFonts w:ascii="Times New Roman" w:hAnsi="Times New Roman" w:eastAsia="Times New Roman" w:cs="Times New Roman"/>
                <w:sz w:val="20"/>
                <w:szCs w:val="20"/>
                <w:highlight w:val="white"/>
                <w:rtl w:val="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leftChars="0" w:firstLine="240" w:firstLineChars="120"/>
              <w:jc w:val="both"/>
              <w:rPr>
                <w:rFonts w:ascii="Times New Roman" w:hAnsi="Times New Roman" w:eastAsia="Times New Roman" w:cs="Times New Roman"/>
                <w:color w:val="auto"/>
                <w:sz w:val="20"/>
                <w:szCs w:val="20"/>
                <w:highlight w:val="white"/>
                <w:shd w:val="clear" w:color="FFFFFF" w:fill="D9D9D9"/>
              </w:rPr>
            </w:pPr>
            <w:r>
              <w:rPr>
                <w:rFonts w:ascii="Times New Roman" w:hAnsi="Times New Roman" w:eastAsia="Times New Roman" w:cs="Times New Roman"/>
                <w:sz w:val="20"/>
                <w:szCs w:val="20"/>
                <w:highlight w:val="white"/>
                <w:rtl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eastAsia="Times New Roman" w:cs="Times New Roman"/>
                <w:color w:val="auto"/>
                <w:sz w:val="20"/>
                <w:szCs w:val="20"/>
                <w:highlight w:val="white"/>
                <w:shd w:val="clear" w:color="FFFFFF" w:fill="D9D9D9"/>
                <w:rtl w:val="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leftChars="0" w:firstLine="240" w:firstLineChars="120"/>
              <w:jc w:val="both"/>
              <w:rPr>
                <w:rFonts w:ascii="Times New Roman" w:hAnsi="Times New Roman" w:eastAsia="Times New Roman" w:cs="Times New Roman"/>
                <w:strike/>
                <w:sz w:val="20"/>
                <w:szCs w:val="20"/>
                <w:highlight w:val="white"/>
              </w:rPr>
            </w:pPr>
            <w:r>
              <w:rPr>
                <w:rFonts w:ascii="Times New Roman" w:hAnsi="Times New Roman" w:eastAsia="Times New Roman" w:cs="Times New Roman"/>
                <w:sz w:val="20"/>
                <w:szCs w:val="20"/>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0"/>
                <w:szCs w:val="20"/>
                <w:rtl w:val="0"/>
              </w:rPr>
              <w:t>протягом 24 годин</w:t>
            </w:r>
            <w:r>
              <w:rPr>
                <w:rFonts w:ascii="Times New Roman" w:hAnsi="Times New Roman" w:eastAsia="Times New Roman" w:cs="Times New Roman"/>
                <w:sz w:val="20"/>
                <w:szCs w:val="20"/>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0"/>
                <w:szCs w:val="20"/>
                <w:highlight w:val="white"/>
                <w:rtl w:val="0"/>
              </w:rPr>
              <w:t>лених невідповідностей.</w:t>
            </w:r>
          </w:p>
          <w:p>
            <w:pPr>
              <w:widowControl w:val="0"/>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ind w:left="0" w:leftChars="0" w:firstLine="240" w:firstLineChars="120"/>
              <w:jc w:val="both"/>
              <w:rPr>
                <w:sz w:val="20"/>
                <w:szCs w:val="20"/>
                <w:highlight w:val="white"/>
              </w:rPr>
            </w:pPr>
            <w:r>
              <w:rPr>
                <w:rFonts w:ascii="Times New Roman" w:hAnsi="Times New Roman" w:eastAsia="Times New Roman" w:cs="Times New Roman"/>
                <w:sz w:val="20"/>
                <w:szCs w:val="20"/>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Інша інформація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tcPr>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Вартість тендерної пропозиції та всі інші ціни повинні бути чітко визначені.</w:t>
            </w:r>
          </w:p>
          <w:p>
            <w:pPr>
              <w:widowControl w:val="0"/>
              <w:spacing w:after="0" w:line="240" w:lineRule="auto"/>
              <w:ind w:left="0" w:leftChars="0" w:right="12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0"/>
                <w:szCs w:val="20"/>
                <w:rtl w:val="0"/>
              </w:rPr>
              <w:t>ею</w:t>
            </w:r>
            <w:r>
              <w:rPr>
                <w:rFonts w:ascii="Times New Roman" w:hAnsi="Times New Roman" w:eastAsia="Times New Roman" w:cs="Times New Roman"/>
                <w:color w:val="000000"/>
                <w:sz w:val="20"/>
                <w:szCs w:val="20"/>
                <w:rtl w:val="0"/>
              </w:rPr>
              <w:t xml:space="preserve"> 358 Кримінального </w:t>
            </w:r>
            <w:r>
              <w:rPr>
                <w:rFonts w:ascii="Times New Roman" w:hAnsi="Times New Roman" w:eastAsia="Times New Roman" w:cs="Times New Roman"/>
                <w:sz w:val="20"/>
                <w:szCs w:val="20"/>
                <w:rtl w:val="0"/>
              </w:rPr>
              <w:t>к</w:t>
            </w:r>
            <w:r>
              <w:rPr>
                <w:rFonts w:ascii="Times New Roman" w:hAnsi="Times New Roman" w:eastAsia="Times New Roman" w:cs="Times New Roman"/>
                <w:color w:val="000000"/>
                <w:sz w:val="20"/>
                <w:szCs w:val="20"/>
                <w:rtl w:val="0"/>
              </w:rPr>
              <w:t>одексу України.</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b/>
                <w:i/>
                <w:color w:val="000000"/>
                <w:sz w:val="20"/>
                <w:szCs w:val="20"/>
                <w:u w:val="single"/>
                <w:rtl w:val="0"/>
              </w:rPr>
              <w:t>Інші умови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color w:val="000000"/>
                <w:sz w:val="20"/>
                <w:szCs w:val="20"/>
                <w:rtl w:val="0"/>
              </w:rPr>
              <w:t xml:space="preserve">1. Учасники відповідають за зміст своїх тендерних пропозицій та </w:t>
            </w:r>
            <w:r>
              <w:rPr>
                <w:rFonts w:ascii="Times New Roman" w:hAnsi="Times New Roman" w:eastAsia="Times New Roman" w:cs="Times New Roman"/>
                <w:color w:val="000000"/>
                <w:sz w:val="20"/>
                <w:szCs w:val="20"/>
                <w:rtl w:val="0"/>
                <w:lang w:val="en-US" w:eastAsia="zh-CN"/>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0"/>
                <w:szCs w:val="20"/>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w:t>
            </w:r>
            <w:r>
              <w:rPr>
                <w:rFonts w:eastAsia="Times New Roman" w:cs="Times New Roman"/>
                <w:sz w:val="20"/>
                <w:szCs w:val="20"/>
                <w:rtl w:val="0"/>
                <w:lang w:val="uk"/>
              </w:rPr>
              <w:t>а</w:t>
            </w:r>
            <w:r>
              <w:rPr>
                <w:rFonts w:ascii="Times New Roman" w:hAnsi="Times New Roman" w:eastAsia="Times New Roman" w:cs="Times New Roman"/>
                <w:sz w:val="20"/>
                <w:szCs w:val="20"/>
                <w:rtl w:val="0"/>
              </w:rPr>
              <w:t>ння електронного підпису; або надає копію/ї роз'яснення/нь державних органів щодо цього.</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3.  Документи, що не передбачені законодавством для учасників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юридичних, фізичних осіб, у тому числі фізичних осіб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підприємців, не подаються ними у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юридичних, фізичних осіб, у тому числі фізичних осіб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0"/>
                <w:szCs w:val="20"/>
                <w:rtl w:val="0"/>
              </w:rPr>
              <w:t>Додатком  1</w:t>
            </w:r>
            <w:r>
              <w:rPr>
                <w:rFonts w:ascii="Times New Roman" w:hAnsi="Times New Roman" w:eastAsia="Times New Roman" w:cs="Times New Roman"/>
                <w:color w:val="000000"/>
                <w:sz w:val="20"/>
                <w:szCs w:val="20"/>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 xml:space="preserve">6.  Факт подання тендерної пропозиції учасником </w:t>
            </w:r>
            <w:r>
              <w:rPr>
                <w:rFonts w:ascii="Times New Roman" w:hAnsi="Times New Roman" w:eastAsia="Times New Roman" w:cs="Times New Roman"/>
                <w:sz w:val="20"/>
                <w:szCs w:val="20"/>
                <w:rtl w:val="0"/>
              </w:rPr>
              <w:t>—</w:t>
            </w:r>
            <w:r>
              <w:rPr>
                <w:rFonts w:ascii="Times New Roman" w:hAnsi="Times New Roman" w:eastAsia="Times New Roman" w:cs="Times New Roman"/>
                <w:color w:val="000000"/>
                <w:sz w:val="20"/>
                <w:szCs w:val="20"/>
                <w:rtl w:val="0"/>
              </w:rPr>
              <w:t xml:space="preserve"> фізичною особою чи фізичною особою</w:t>
            </w:r>
            <w:r>
              <w:rPr>
                <w:rFonts w:ascii="Times New Roman" w:hAnsi="Times New Roman" w:eastAsia="Times New Roman" w:cs="Times New Roman"/>
                <w:sz w:val="20"/>
                <w:szCs w:val="20"/>
                <w:rtl w:val="0"/>
              </w:rPr>
              <w:t xml:space="preserve"> — </w:t>
            </w:r>
            <w:r>
              <w:rPr>
                <w:rFonts w:ascii="Times New Roman" w:hAnsi="Times New Roman" w:eastAsia="Times New Roman" w:cs="Times New Roman"/>
                <w:color w:val="000000"/>
                <w:sz w:val="20"/>
                <w:szCs w:val="20"/>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0"/>
                <w:szCs w:val="20"/>
                <w:rtl w:val="0"/>
              </w:rPr>
              <w:t>, жодних окремих підтверджень не потрібно подавати в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0"/>
                <w:szCs w:val="20"/>
                <w:rtl w:val="0"/>
              </w:rPr>
              <w:t>, жодних окремих підтверджень не потрібно подавати в складі тендерної пропозиції.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0"/>
                <w:szCs w:val="20"/>
                <w:rtl w:val="0"/>
              </w:rPr>
              <w:t xml:space="preserve">Додатку </w:t>
            </w:r>
            <w:r>
              <w:rPr>
                <w:rFonts w:hint="default" w:ascii="Times New Roman" w:hAnsi="Times New Roman" w:eastAsia="Times New Roman" w:cs="Times New Roman"/>
                <w:b/>
                <w:i/>
                <w:sz w:val="20"/>
                <w:szCs w:val="20"/>
                <w:rtl w:val="0"/>
                <w:lang w:val="uk"/>
              </w:rPr>
              <w:t>6</w:t>
            </w:r>
            <w:r>
              <w:rPr>
                <w:rFonts w:ascii="Times New Roman" w:hAnsi="Times New Roman" w:eastAsia="Times New Roman" w:cs="Times New Roman"/>
                <w:sz w:val="20"/>
                <w:szCs w:val="20"/>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0"/>
                <w:szCs w:val="20"/>
                <w:rtl w:val="0"/>
              </w:rPr>
              <w:t>в п. 4 Розділу 3</w:t>
            </w:r>
            <w:r>
              <w:rPr>
                <w:rFonts w:ascii="Times New Roman" w:hAnsi="Times New Roman" w:eastAsia="Times New Roman" w:cs="Times New Roman"/>
                <w:sz w:val="20"/>
                <w:szCs w:val="20"/>
                <w:rtl w:val="0"/>
              </w:rPr>
              <w:t xml:space="preserve"> до цієї тендерної документації.</w:t>
            </w:r>
          </w:p>
          <w:p>
            <w:pPr>
              <w:widowControl w:val="0"/>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0"/>
                <w:szCs w:val="20"/>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ind w:left="0" w:leftChars="0" w:firstLine="240" w:firstLineChars="120"/>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tl w:val="0"/>
              </w:rPr>
              <w:t xml:space="preserve">11. </w:t>
            </w:r>
            <w:r>
              <w:rPr>
                <w:rFonts w:ascii="Times New Roman" w:hAnsi="Times New Roman" w:eastAsia="Times New Roman" w:cs="Times New Roman"/>
                <w:sz w:val="20"/>
                <w:szCs w:val="20"/>
                <w:rtl w:val="0"/>
              </w:rPr>
              <w:t>Тендерна п</w:t>
            </w:r>
            <w:r>
              <w:rPr>
                <w:rFonts w:ascii="Times New Roman" w:hAnsi="Times New Roman" w:eastAsia="Times New Roman" w:cs="Times New Roman"/>
                <w:color w:val="000000"/>
                <w:sz w:val="20"/>
                <w:szCs w:val="20"/>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ascii="Times New Roman" w:hAnsi="Times New Roman" w:eastAsia="Times New Roman" w:cs="Times New Roman"/>
                <w:i/>
                <w:sz w:val="20"/>
                <w:szCs w:val="20"/>
              </w:rPr>
            </w:pPr>
            <w:r>
              <w:rPr>
                <w:rFonts w:hint="default" w:eastAsia="Times New Roman" w:cs="Times New Roman"/>
                <w:sz w:val="20"/>
                <w:szCs w:val="20"/>
                <w:rtl w:val="0"/>
                <w:lang w:val="uk-UA"/>
              </w:rPr>
              <w:t xml:space="preserve">- </w:t>
            </w:r>
            <w:r>
              <w:rPr>
                <w:rFonts w:ascii="Times New Roman" w:hAnsi="Times New Roman" w:eastAsia="Times New Roman" w:cs="Times New Roman"/>
                <w:sz w:val="20"/>
                <w:szCs w:val="20"/>
                <w:rtl w:val="0"/>
              </w:rPr>
              <w:t>Закону України «Про забезпечення прав і свобод громадян та правовий режим на тимчасово окупованій території України» від 15.04.2014 № 1207-VII.</w:t>
            </w:r>
          </w:p>
          <w:p>
            <w:pPr>
              <w:tabs>
                <w:tab w:val="left" w:pos="170"/>
                <w:tab w:val="left" w:pos="1080"/>
              </w:tabs>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ascii="Times New Roman" w:hAnsi="Times New Roman" w:eastAsia="Times New Roman" w:cs="Times New Roman"/>
                <w:sz w:val="20"/>
                <w:szCs w:val="20"/>
                <w:rtl w:val="0"/>
              </w:rPr>
              <w:t xml:space="preserve">А також враховувати, що в Україні </w:t>
            </w:r>
            <w:r>
              <w:rPr>
                <w:rFonts w:ascii="Times New Roman" w:hAnsi="Times New Roman" w:eastAsia="Times New Roman" w:cs="Times New Roman"/>
                <w:sz w:val="20"/>
                <w:szCs w:val="20"/>
                <w:highlight w:val="white"/>
                <w:rtl w:val="0"/>
              </w:rPr>
              <w:t>замовникам забороняється</w:t>
            </w:r>
            <w:r>
              <w:rPr>
                <w:rFonts w:hint="default" w:eastAsia="Times New Roman" w:cs="Times New Roman"/>
                <w:sz w:val="20"/>
                <w:szCs w:val="20"/>
                <w:highlight w:val="white"/>
                <w:rtl w:val="0"/>
                <w:lang w:val="uk-UA"/>
              </w:rPr>
              <w:t>:</w:t>
            </w:r>
            <w:r>
              <w:rPr>
                <w:rFonts w:ascii="Times New Roman" w:hAnsi="Times New Roman" w:eastAsia="Times New Roman" w:cs="Times New Roman"/>
                <w:sz w:val="20"/>
                <w:szCs w:val="20"/>
                <w:highlight w:val="white"/>
                <w:rtl w:val="0"/>
              </w:rPr>
              <w:t xml:space="preserve"> </w:t>
            </w:r>
          </w:p>
          <w:p>
            <w:pPr>
              <w:tabs>
                <w:tab w:val="left" w:pos="170"/>
                <w:tab w:val="left" w:pos="1080"/>
              </w:tabs>
              <w:spacing w:after="0" w:line="240" w:lineRule="auto"/>
              <w:ind w:left="0" w:leftChars="0" w:firstLine="240" w:firstLineChars="120"/>
              <w:jc w:val="both"/>
              <w:rPr>
                <w:rFonts w:hint="default" w:ascii="Times New Roman" w:hAnsi="Times New Roman" w:eastAsia="Times New Roman" w:cs="Times New Roman"/>
                <w:sz w:val="20"/>
                <w:szCs w:val="20"/>
                <w:highlight w:val="white"/>
                <w:rtl w:val="0"/>
                <w:lang w:val="uk-UA"/>
              </w:rPr>
            </w:pPr>
            <w:r>
              <w:rPr>
                <w:rFonts w:ascii="Times New Roman" w:hAnsi="Times New Roman" w:eastAsia="Times New Roman" w:cs="Times New Roman"/>
                <w:sz w:val="20"/>
                <w:szCs w:val="20"/>
                <w:highlight w:val="white"/>
                <w:rtl w:val="0"/>
              </w:rPr>
              <w:t>здійснювати публічні закупівлі товарів, робіт і послуг у громадян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hint="default" w:eastAsia="宋体" w:cs="Times New Roman"/>
                <w:i w:val="0"/>
                <w:caps w:val="0"/>
                <w:color w:val="333333"/>
                <w:spacing w:val="0"/>
                <w:kern w:val="0"/>
                <w:sz w:val="20"/>
                <w:szCs w:val="20"/>
                <w:shd w:val="clear" w:fill="FFFFFF"/>
                <w:lang w:val="uk" w:eastAsia="zh-CN" w:bidi="ar"/>
              </w:rPr>
              <w:t xml:space="preserve"> </w:t>
            </w:r>
            <w:r>
              <w:rPr>
                <w:rFonts w:ascii="Times New Roman" w:hAnsi="Times New Roman" w:eastAsia="Times New Roman" w:cs="Times New Roman"/>
                <w:sz w:val="20"/>
                <w:szCs w:val="20"/>
                <w:highlight w:val="white"/>
                <w:rtl w:val="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w:t>
            </w:r>
            <w:r>
              <w:rPr>
                <w:rFonts w:hint="default" w:eastAsia="宋体" w:cs="Times New Roman"/>
                <w:i w:val="0"/>
                <w:caps w:val="0"/>
                <w:color w:val="333333"/>
                <w:spacing w:val="0"/>
                <w:kern w:val="0"/>
                <w:sz w:val="20"/>
                <w:szCs w:val="20"/>
                <w:shd w:val="clear" w:fill="FFFFFF"/>
                <w:lang w:val="uk" w:eastAsia="zh-CN" w:bidi="ar"/>
              </w:rPr>
              <w:t>а</w:t>
            </w:r>
            <w:r>
              <w:rPr>
                <w:rFonts w:hint="default" w:ascii="Times New Roman" w:hAnsi="Times New Roman" w:eastAsia="宋体" w:cs="Times New Roman"/>
                <w:i w:val="0"/>
                <w:caps w:val="0"/>
                <w:color w:val="333333"/>
                <w:spacing w:val="0"/>
                <w:kern w:val="0"/>
                <w:sz w:val="20"/>
                <w:szCs w:val="20"/>
                <w:shd w:val="clear" w:fill="FFFFFF"/>
                <w:lang w:val="en-US" w:eastAsia="zh-CN" w:bidi="ar"/>
              </w:rPr>
              <w:t xml:space="preserve"> Республік</w:t>
            </w:r>
            <w:r>
              <w:rPr>
                <w:rFonts w:hint="default" w:eastAsia="宋体" w:cs="Times New Roman"/>
                <w:i w:val="0"/>
                <w:caps w:val="0"/>
                <w:color w:val="333333"/>
                <w:spacing w:val="0"/>
                <w:kern w:val="0"/>
                <w:sz w:val="20"/>
                <w:szCs w:val="20"/>
                <w:shd w:val="clear" w:fill="FFFFFF"/>
                <w:lang w:val="uk" w:eastAsia="zh-CN" w:bidi="ar"/>
              </w:rPr>
              <w:t>а</w:t>
            </w:r>
            <w:r>
              <w:rPr>
                <w:rFonts w:hint="default" w:ascii="Times New Roman" w:hAnsi="Times New Roman" w:eastAsia="宋体" w:cs="Times New Roman"/>
                <w:i w:val="0"/>
                <w:caps w:val="0"/>
                <w:color w:val="333333"/>
                <w:spacing w:val="0"/>
                <w:kern w:val="0"/>
                <w:sz w:val="20"/>
                <w:szCs w:val="20"/>
                <w:shd w:val="clear" w:fill="FFFFFF"/>
                <w:lang w:val="en-US" w:eastAsia="zh-CN" w:bidi="ar"/>
              </w:rPr>
              <w:t xml:space="preserve"> Іран</w:t>
            </w:r>
            <w:r>
              <w:rPr>
                <w:rFonts w:ascii="Times New Roman" w:hAnsi="Times New Roman" w:eastAsia="Times New Roman" w:cs="Times New Roman"/>
                <w:sz w:val="20"/>
                <w:szCs w:val="20"/>
                <w:highlight w:val="white"/>
                <w:rtl w:val="0"/>
              </w:rPr>
              <w:t>, громадянин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eastAsia="Times New Roman" w:cs="Times New Roman"/>
                <w:sz w:val="20"/>
                <w:szCs w:val="20"/>
                <w:highlight w:val="white"/>
                <w:rtl w:val="0"/>
                <w:lang w:val="uk-UA"/>
              </w:rPr>
              <w:t>;</w:t>
            </w:r>
          </w:p>
          <w:p>
            <w:pPr>
              <w:tabs>
                <w:tab w:val="left" w:pos="170"/>
                <w:tab w:val="left" w:pos="1080"/>
              </w:tabs>
              <w:spacing w:after="0" w:line="240" w:lineRule="auto"/>
              <w:ind w:left="0" w:leftChars="0" w:firstLine="240" w:firstLineChars="120"/>
              <w:jc w:val="both"/>
              <w:rPr>
                <w:rFonts w:ascii="Times New Roman" w:hAnsi="Times New Roman" w:eastAsia="Times New Roman" w:cs="Times New Roman"/>
                <w:sz w:val="20"/>
                <w:szCs w:val="20"/>
                <w:highlight w:val="white"/>
                <w:rtl w:val="0"/>
              </w:rPr>
            </w:pPr>
            <w:r>
              <w:rPr>
                <w:rFonts w:eastAsia="Times New Roman"/>
                <w:color w:val="000000"/>
                <w:sz w:val="20"/>
                <w:szCs w:val="20"/>
                <w:highlight w:val="white"/>
                <w:lang w:val="uk-UA"/>
              </w:rPr>
              <w:t>здійснювати публічні закупівлі товарів походженням з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eastAsia="Times New Roman"/>
                <w:color w:val="000000"/>
                <w:sz w:val="20"/>
                <w:szCs w:val="20"/>
                <w:highlight w:val="white"/>
                <w:lang w:val="uk-UA"/>
              </w:rPr>
              <w:t>,</w:t>
            </w:r>
            <w:r>
              <w:rPr>
                <w:rFonts w:eastAsia="Times New Roman"/>
                <w:color w:val="FF00FF"/>
                <w:sz w:val="20"/>
                <w:szCs w:val="20"/>
                <w:highlight w:val="white"/>
                <w:lang w:val="uk-UA"/>
              </w:rPr>
              <w:t> </w:t>
            </w:r>
            <w:r>
              <w:rPr>
                <w:rFonts w:eastAsia="Times New Roman"/>
                <w:color w:val="00000A"/>
                <w:sz w:val="20"/>
                <w:szCs w:val="20"/>
                <w:highlight w:val="white"/>
                <w:lang w:val="uk-UA"/>
              </w:rPr>
              <w:t>за винятком товарів, необхідних для ремонту та обслуговування товарів, придбаних до набрання чинності Особливостями.</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3. </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Відхилення тендерних пропозицій</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before="0"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учасник процедури закупівлі:</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підпадає під підстави, встановлені пунктом 47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громадянином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w:t>
            </w:r>
            <w:r>
              <w:rPr>
                <w:rFonts w:hint="default" w:eastAsia="宋体" w:cs="Times New Roman"/>
                <w:i w:val="0"/>
                <w:caps w:val="0"/>
                <w:color w:val="333333"/>
                <w:spacing w:val="0"/>
                <w:kern w:val="0"/>
                <w:sz w:val="20"/>
                <w:szCs w:val="20"/>
                <w:shd w:val="clear" w:fill="FFFFFF"/>
                <w:lang w:val="uk" w:eastAsia="zh-CN" w:bidi="ar"/>
              </w:rPr>
              <w:t>а</w:t>
            </w:r>
            <w:r>
              <w:rPr>
                <w:rFonts w:hint="default" w:ascii="Times New Roman" w:hAnsi="Times New Roman" w:eastAsia="宋体" w:cs="Times New Roman"/>
                <w:i w:val="0"/>
                <w:caps w:val="0"/>
                <w:color w:val="333333"/>
                <w:spacing w:val="0"/>
                <w:kern w:val="0"/>
                <w:sz w:val="20"/>
                <w:szCs w:val="20"/>
                <w:shd w:val="clear" w:fill="FFFFFF"/>
                <w:lang w:val="en-US" w:eastAsia="zh-CN" w:bidi="ar"/>
              </w:rPr>
              <w:t xml:space="preserve"> Республік</w:t>
            </w:r>
            <w:r>
              <w:rPr>
                <w:rFonts w:hint="default" w:eastAsia="宋体" w:cs="Times New Roman"/>
                <w:i w:val="0"/>
                <w:caps w:val="0"/>
                <w:color w:val="333333"/>
                <w:spacing w:val="0"/>
                <w:kern w:val="0"/>
                <w:sz w:val="20"/>
                <w:szCs w:val="20"/>
                <w:shd w:val="clear" w:fill="FFFFFF"/>
                <w:lang w:val="uk" w:eastAsia="zh-CN" w:bidi="ar"/>
              </w:rPr>
              <w:t>а</w:t>
            </w:r>
            <w:r>
              <w:rPr>
                <w:rFonts w:hint="default" w:ascii="Times New Roman" w:hAnsi="Times New Roman" w:eastAsia="宋体" w:cs="Times New Roman"/>
                <w:i w:val="0"/>
                <w:caps w:val="0"/>
                <w:color w:val="333333"/>
                <w:spacing w:val="0"/>
                <w:kern w:val="0"/>
                <w:sz w:val="20"/>
                <w:szCs w:val="20"/>
                <w:shd w:val="clear" w:fill="FFFFFF"/>
                <w:lang w:val="en-US" w:eastAsia="zh-CN" w:bidi="ar"/>
              </w:rPr>
              <w:t xml:space="preserve"> Іран</w:t>
            </w:r>
            <w:r>
              <w:rPr>
                <w:rFonts w:ascii="Times New Roman" w:hAnsi="Times New Roman" w:eastAsia="Times New Roman" w:cs="Times New Roman"/>
                <w:sz w:val="20"/>
                <w:szCs w:val="20"/>
                <w:highlight w:val="white"/>
                <w:rtl w:val="0"/>
              </w:rPr>
              <w:t>, громадянин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hint="default" w:eastAsia="Times New Roman" w:cs="Times New Roman"/>
                <w:sz w:val="20"/>
                <w:szCs w:val="20"/>
                <w:highlight w:val="white"/>
                <w:rtl w:val="0"/>
                <w:lang w:val="uk"/>
              </w:rPr>
              <w:t>/</w:t>
            </w:r>
            <w:r>
              <w:rPr>
                <w:rFonts w:hint="default" w:ascii="Times New Roman" w:hAnsi="Times New Roman" w:eastAsia="宋体" w:cs="Times New Roman"/>
                <w:i w:val="0"/>
                <w:caps w:val="0"/>
                <w:color w:val="333333"/>
                <w:spacing w:val="0"/>
                <w:kern w:val="0"/>
                <w:sz w:val="20"/>
                <w:szCs w:val="20"/>
                <w:shd w:val="clear" w:fill="FFFFFF"/>
                <w:lang w:val="en-US" w:eastAsia="zh-CN" w:bidi="ar"/>
              </w:rPr>
              <w:t>Ісламської Республіки Іран</w:t>
            </w:r>
            <w:r>
              <w:rPr>
                <w:rFonts w:ascii="Times New Roman" w:hAnsi="Times New Roman" w:eastAsia="Times New Roman" w:cs="Times New Roman"/>
                <w:sz w:val="20"/>
                <w:szCs w:val="20"/>
                <w:highlight w:val="white"/>
                <w:rtl w:val="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тендерна пропозиція:</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sz w:val="20"/>
                <w:szCs w:val="20"/>
              </w:rPr>
              <w:fldChar w:fldCharType="begin"/>
            </w:r>
            <w:r>
              <w:rPr>
                <w:sz w:val="20"/>
                <w:szCs w:val="20"/>
              </w:rPr>
              <w:instrText xml:space="preserve"> HYPERLINK "https://zakon.rada.gov.ua/laws/show/1178-2022-%D0%BF#n131" \h </w:instrText>
            </w:r>
            <w:r>
              <w:rPr>
                <w:sz w:val="20"/>
                <w:szCs w:val="20"/>
              </w:rPr>
              <w:fldChar w:fldCharType="separate"/>
            </w:r>
            <w:r>
              <w:rPr>
                <w:rFonts w:ascii="Times New Roman" w:hAnsi="Times New Roman" w:eastAsia="Times New Roman" w:cs="Times New Roman"/>
                <w:sz w:val="20"/>
                <w:szCs w:val="20"/>
                <w:highlight w:val="white"/>
                <w:rtl w:val="0"/>
              </w:rPr>
              <w:t>пункту 4</w:t>
            </w:r>
            <w:r>
              <w:rPr>
                <w:rFonts w:ascii="Times New Roman" w:hAnsi="Times New Roman" w:eastAsia="Times New Roman" w:cs="Times New Roman"/>
                <w:sz w:val="20"/>
                <w:szCs w:val="20"/>
                <w:highlight w:val="white"/>
                <w:rtl w:val="0"/>
              </w:rPr>
              <w:fldChar w:fldCharType="end"/>
            </w:r>
            <w:r>
              <w:rPr>
                <w:rFonts w:ascii="Times New Roman" w:hAnsi="Times New Roman" w:eastAsia="Times New Roman" w:cs="Times New Roman"/>
                <w:sz w:val="20"/>
                <w:szCs w:val="20"/>
                <w:highlight w:val="white"/>
                <w:rtl w:val="0"/>
              </w:rPr>
              <w:t>3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такою, строк дії якої закінчився;</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3) переможець процедури закупівлі:</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може відхилити тендерну пропозицію із зазначенням аргументації в електронній системі закупівель у разі, коли:</w:t>
            </w:r>
          </w:p>
          <w:p>
            <w:pPr>
              <w:shd w:val="clear" w:color="auto" w:fill="FFFFFF"/>
              <w:ind w:firstLine="420"/>
              <w:contextualSpacing/>
              <w:jc w:val="both"/>
              <w:rPr>
                <w:color w:val="auto"/>
                <w:sz w:val="20"/>
                <w:szCs w:val="20"/>
                <w:highlight w:val="white"/>
                <w:lang w:val="uk-UA"/>
              </w:rPr>
            </w:pPr>
            <w:r>
              <w:rPr>
                <w:rFonts w:ascii="Times New Roman" w:hAnsi="Times New Roman" w:eastAsia="Times New Roman" w:cs="Times New Roman"/>
                <w:sz w:val="20"/>
                <w:szCs w:val="20"/>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hint="default" w:eastAsia="Times New Roman" w:cs="Times New Roman"/>
                <w:sz w:val="20"/>
                <w:szCs w:val="20"/>
                <w:highlight w:val="white"/>
                <w:rtl w:val="0"/>
                <w:lang w:val="uk-UA"/>
              </w:rPr>
              <w:t xml:space="preserve"> </w:t>
            </w:r>
            <w:r>
              <w:rPr>
                <w:color w:val="000000" w:themeColor="text1"/>
                <w:sz w:val="20"/>
                <w:szCs w:val="20"/>
                <w:highlight w:val="white"/>
                <w:lang w:val="uk-UA"/>
                <w14:textFill>
                  <w14:solidFill>
                    <w14:schemeClr w14:val="tx1"/>
                  </w14:solidFill>
                </w14:textFill>
              </w:rPr>
              <w:t>(</w:t>
            </w:r>
            <w:r>
              <w:rPr>
                <w:i/>
                <w:color w:val="000000" w:themeColor="text1"/>
                <w:sz w:val="20"/>
                <w:szCs w:val="20"/>
                <w:highlight w:val="white"/>
                <w:lang w:val="uk-UA"/>
                <w14:textFill>
                  <w14:solidFill>
                    <w14:schemeClr w14:val="tx1"/>
                  </w14:solidFill>
                </w14:textFill>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w:t>
            </w:r>
            <w:r>
              <w:rPr>
                <w:i/>
                <w:color w:val="auto"/>
                <w:sz w:val="20"/>
                <w:szCs w:val="20"/>
                <w:highlight w:val="white"/>
                <w:lang w:val="uk-UA"/>
              </w:rPr>
              <w:t>одали свої тендерні пропозиції щодо предмета закупівлі або його частини (лота)</w:t>
            </w:r>
            <w:r>
              <w:rPr>
                <w:rFonts w:hint="default"/>
                <w:i/>
                <w:color w:val="auto"/>
                <w:sz w:val="20"/>
                <w:szCs w:val="20"/>
                <w:highlight w:val="white"/>
                <w:lang w:val="uk-UA"/>
              </w:rPr>
              <w:t xml:space="preserve">), </w:t>
            </w:r>
            <w:r>
              <w:rPr>
                <w:color w:val="auto"/>
                <w:sz w:val="20"/>
                <w:szCs w:val="20"/>
                <w:highlight w:val="whit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themeFill="background1"/>
              <w:ind w:firstLine="567"/>
              <w:contextualSpacing/>
              <w:jc w:val="both"/>
              <w:rPr>
                <w:color w:val="auto"/>
                <w:sz w:val="20"/>
                <w:szCs w:val="20"/>
                <w:lang w:val="uk-UA"/>
              </w:rPr>
            </w:pPr>
            <w:r>
              <w:rPr>
                <w:color w:val="auto"/>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w:t>
            </w:r>
            <w:r>
              <w:rPr>
                <w:rFonts w:hint="default"/>
                <w:color w:val="auto"/>
                <w:sz w:val="20"/>
                <w:szCs w:val="20"/>
                <w:lang w:val="uk"/>
              </w:rPr>
              <w:t>’</w:t>
            </w:r>
            <w:r>
              <w:rPr>
                <w:color w:val="auto"/>
                <w:sz w:val="20"/>
                <w:szCs w:val="20"/>
                <w:lang w:val="uk-UA"/>
              </w:rPr>
              <w:t>ятим пункту 37 Особливостей.</w:t>
            </w:r>
          </w:p>
          <w:p>
            <w:pPr>
              <w:ind w:firstLine="567"/>
              <w:contextualSpacing/>
              <w:jc w:val="both"/>
              <w:rPr>
                <w:color w:val="auto"/>
                <w:sz w:val="20"/>
                <w:szCs w:val="20"/>
                <w:lang w:val="uk-UA"/>
              </w:rPr>
            </w:pPr>
            <w:r>
              <w:rPr>
                <w:color w:val="auto"/>
                <w:sz w:val="20"/>
                <w:szCs w:val="20"/>
                <w:lang w:val="uk-UA"/>
              </w:rPr>
              <w:t>Обґрунтування аномально низької тендерної пропозиції може містити інформацію про:</w:t>
            </w:r>
          </w:p>
          <w:p>
            <w:pPr>
              <w:ind w:firstLine="567"/>
              <w:contextualSpacing/>
              <w:jc w:val="both"/>
              <w:rPr>
                <w:color w:val="auto"/>
                <w:sz w:val="20"/>
                <w:szCs w:val="20"/>
                <w:lang w:val="uk-UA"/>
              </w:rPr>
            </w:pPr>
            <w:r>
              <w:rPr>
                <w:color w:val="auto"/>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ind w:firstLine="567"/>
              <w:contextualSpacing/>
              <w:jc w:val="both"/>
              <w:rPr>
                <w:color w:val="auto"/>
                <w:sz w:val="20"/>
                <w:szCs w:val="20"/>
                <w:lang w:val="uk-UA"/>
              </w:rPr>
            </w:pPr>
            <w:r>
              <w:rPr>
                <w:color w:val="auto"/>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before="0" w:after="0" w:line="240" w:lineRule="auto"/>
              <w:ind w:left="0" w:leftChars="0" w:firstLine="240" w:firstLineChars="120"/>
              <w:jc w:val="both"/>
              <w:rPr>
                <w:rFonts w:ascii="Times New Roman" w:hAnsi="Times New Roman" w:eastAsia="Times New Roman" w:cs="Times New Roman"/>
                <w:color w:val="auto"/>
                <w:sz w:val="20"/>
                <w:szCs w:val="20"/>
                <w:highlight w:val="white"/>
              </w:rPr>
            </w:pPr>
            <w:r>
              <w:rPr>
                <w:color w:val="auto"/>
                <w:sz w:val="20"/>
                <w:szCs w:val="20"/>
                <w:lang w:val="uk-UA"/>
              </w:rPr>
              <w:t>отримання учасником процедури закупівлі державної допомоги згідно із законодавством</w:t>
            </w:r>
            <w:r>
              <w:rPr>
                <w:rFonts w:ascii="Times New Roman" w:hAnsi="Times New Roman" w:eastAsia="Times New Roman" w:cs="Times New Roman"/>
                <w:color w:val="auto"/>
                <w:sz w:val="20"/>
                <w:szCs w:val="20"/>
                <w:highlight w:val="white"/>
                <w:rtl w:val="0"/>
              </w:rPr>
              <w:t>;</w:t>
            </w:r>
          </w:p>
          <w:p>
            <w:pPr>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ind w:left="0" w:leftChars="0" w:firstLine="240" w:firstLineChars="120"/>
              <w:jc w:val="both"/>
              <w:rPr>
                <w:sz w:val="20"/>
                <w:szCs w:val="20"/>
              </w:rPr>
            </w:pPr>
            <w:r>
              <w:rPr>
                <w:rFonts w:ascii="Times New Roman" w:hAnsi="Times New Roman" w:eastAsia="Times New Roman" w:cs="Times New Roman"/>
                <w:sz w:val="20"/>
                <w:szCs w:val="20"/>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Pr>
                <w:rFonts w:eastAsia="Times New Roman" w:cs="Times New Roman"/>
                <w:sz w:val="20"/>
                <w:szCs w:val="20"/>
                <w:highlight w:val="white"/>
                <w:rtl w:val="0"/>
                <w:lang w:val="uk"/>
              </w:rPr>
              <w:t>е</w:t>
            </w:r>
            <w:r>
              <w:rPr>
                <w:rFonts w:ascii="Times New Roman" w:hAnsi="Times New Roman" w:eastAsia="Times New Roman" w:cs="Times New Roman"/>
                <w:sz w:val="20"/>
                <w:szCs w:val="20"/>
                <w:highlight w:val="white"/>
                <w:rtl w:val="0"/>
              </w:rPr>
              <w:t xml:space="preserve">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CellMar>
            <w:top w:w="0" w:type="dxa"/>
            <w:left w:w="78" w:type="dxa"/>
            <w:bottom w:w="0" w:type="dxa"/>
            <w:right w:w="108" w:type="dxa"/>
          </w:tblCellMar>
        </w:tblPrEx>
        <w:trPr>
          <w:trHeight w:val="517" w:hRule="atLeast"/>
        </w:trPr>
        <w:tc>
          <w:tcPr>
            <w:tcW w:w="10318" w:type="dxa"/>
            <w:gridSpan w:val="3"/>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VІ. Результати торгів та укладання договору про закупівлю</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1.</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Відміна замовником торгів чи визнання їх такими, що не відбулися</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Замовник відміняє відкриті торги у разі:</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відсутності подальшої потреби в закупівлі товарів, робіт чи послуг;</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3) скорочення обсягу видатків на здійснення закупівлі товарів, робіт чи послуг;</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4) коли здійснення закупівлі стало неможливим внаслідок дії обставин непереборної сили.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 разі відміни відкритих торгів замовник </w:t>
            </w:r>
            <w:r>
              <w:rPr>
                <w:rFonts w:ascii="Times New Roman" w:hAnsi="Times New Roman" w:eastAsia="Times New Roman" w:cs="Times New Roman"/>
                <w:b/>
                <w:i/>
                <w:sz w:val="20"/>
                <w:szCs w:val="20"/>
                <w:highlight w:val="white"/>
                <w:rtl w:val="0"/>
              </w:rPr>
              <w:t>протягом одного робочого дня</w:t>
            </w:r>
            <w:r>
              <w:rPr>
                <w:rFonts w:ascii="Times New Roman" w:hAnsi="Times New Roman" w:eastAsia="Times New Roman" w:cs="Times New Roman"/>
                <w:sz w:val="20"/>
                <w:szCs w:val="20"/>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ind w:left="0" w:leftChars="0" w:firstLine="240" w:firstLineChars="120"/>
              <w:jc w:val="both"/>
              <w:rPr>
                <w:rFonts w:ascii="Times New Roman" w:hAnsi="Times New Roman" w:eastAsia="Times New Roman" w:cs="Times New Roman"/>
                <w:b/>
                <w:i/>
                <w:sz w:val="20"/>
                <w:szCs w:val="20"/>
                <w:highlight w:val="white"/>
              </w:rPr>
            </w:pPr>
            <w:r>
              <w:rPr>
                <w:rFonts w:ascii="Times New Roman" w:hAnsi="Times New Roman" w:eastAsia="Times New Roman" w:cs="Times New Roman"/>
                <w:b/>
                <w:i/>
                <w:sz w:val="20"/>
                <w:szCs w:val="20"/>
                <w:highlight w:val="white"/>
                <w:rtl w:val="0"/>
              </w:rPr>
              <w:t>Відкриті торги автоматично відміняються електронною системою закупівель у разі:</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Відкриті торги можуть бути відмінені частково (за лотом).</w:t>
            </w:r>
          </w:p>
          <w:p>
            <w:pPr>
              <w:spacing w:after="0" w:line="240" w:lineRule="auto"/>
              <w:ind w:left="0" w:leftChars="0" w:firstLine="240" w:firstLineChars="120"/>
              <w:jc w:val="both"/>
              <w:rPr>
                <w:sz w:val="20"/>
                <w:szCs w:val="20"/>
              </w:rPr>
            </w:pPr>
            <w:r>
              <w:rPr>
                <w:rFonts w:ascii="Times New Roman" w:hAnsi="Times New Roman" w:eastAsia="Times New Roman" w:cs="Times New Roman"/>
                <w:sz w:val="20"/>
                <w:szCs w:val="20"/>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2.</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Строк укладання договору</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widowControl w:val="0"/>
              <w:spacing w:after="0" w:line="240" w:lineRule="auto"/>
              <w:ind w:left="0" w:leftChars="0" w:firstLine="240" w:firstLineChars="120"/>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0"/>
                <w:szCs w:val="20"/>
                <w:highlight w:val="white"/>
                <w:rtl w:val="0"/>
              </w:rPr>
              <w:t>не пізніше ніж через 15 днів</w:t>
            </w:r>
            <w:r>
              <w:rPr>
                <w:rFonts w:ascii="Times New Roman" w:hAnsi="Times New Roman" w:eastAsia="Times New Roman" w:cs="Times New Roman"/>
                <w:sz w:val="20"/>
                <w:szCs w:val="20"/>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0"/>
                <w:szCs w:val="20"/>
                <w:highlight w:val="white"/>
                <w:rtl w:val="0"/>
              </w:rPr>
              <w:t>може бути продовжений до 60 днів</w:t>
            </w:r>
            <w:r>
              <w:rPr>
                <w:rFonts w:ascii="Times New Roman" w:hAnsi="Times New Roman" w:eastAsia="Times New Roman" w:cs="Times New Roman"/>
                <w:sz w:val="20"/>
                <w:szCs w:val="20"/>
                <w:highlight w:val="white"/>
                <w:rtl w:val="0"/>
              </w:rPr>
              <w:t xml:space="preserve">. </w:t>
            </w:r>
          </w:p>
          <w:p>
            <w:pPr>
              <w:widowControl w:val="0"/>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after="0" w:line="240" w:lineRule="auto"/>
              <w:ind w:left="0" w:leftChars="0" w:firstLine="240" w:firstLineChars="0"/>
              <w:jc w:val="both"/>
              <w:rPr>
                <w:sz w:val="20"/>
                <w:szCs w:val="20"/>
              </w:rPr>
            </w:pPr>
            <w:r>
              <w:rPr>
                <w:rFonts w:ascii="Times New Roman" w:hAnsi="Times New Roman" w:eastAsia="Times New Roman" w:cs="Times New Roman"/>
                <w:sz w:val="20"/>
                <w:szCs w:val="20"/>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0"/>
                <w:szCs w:val="20"/>
                <w:highlight w:val="white"/>
                <w:rtl w:val="0"/>
              </w:rPr>
              <w:t>не може бути укладено раніше ніж через п’ять днів</w:t>
            </w:r>
            <w:r>
              <w:rPr>
                <w:rFonts w:ascii="Times New Roman" w:hAnsi="Times New Roman" w:eastAsia="Times New Roman" w:cs="Times New Roman"/>
                <w:i/>
                <w:sz w:val="20"/>
                <w:szCs w:val="20"/>
                <w:highlight w:val="white"/>
                <w:rtl w:val="0"/>
              </w:rPr>
              <w:t xml:space="preserve"> </w:t>
            </w:r>
            <w:r>
              <w:rPr>
                <w:rFonts w:ascii="Times New Roman" w:hAnsi="Times New Roman" w:eastAsia="Times New Roman" w:cs="Times New Roman"/>
                <w:sz w:val="20"/>
                <w:szCs w:val="20"/>
                <w:highlight w:val="white"/>
                <w:rtl w:val="0"/>
              </w:rPr>
              <w:t>з дати оприлюднення в електронній системі закупівель повідомлення про намір укласти договір про закупівлю.</w:t>
            </w:r>
            <w:r>
              <w:rPr>
                <w:sz w:val="20"/>
                <w:szCs w:val="20"/>
                <w:shd w:val="clear" w:color="auto" w:fill="FFFFFF"/>
              </w:rPr>
              <w:t>.</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3.</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Проєкт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color w:val="000000"/>
                <w:sz w:val="20"/>
                <w:szCs w:val="20"/>
                <w:lang w:eastAsia="ru-RU"/>
              </w:rPr>
              <w:t xml:space="preserve">Проєкт Договору про закупівлю викладено в </w:t>
            </w:r>
            <w:r>
              <w:rPr>
                <w:b/>
                <w:bCs/>
                <w:iCs/>
                <w:color w:val="000000"/>
                <w:sz w:val="20"/>
                <w:szCs w:val="20"/>
                <w:lang w:eastAsia="ru-RU"/>
              </w:rPr>
              <w:t>Додатку 6</w:t>
            </w:r>
            <w:r>
              <w:rPr>
                <w:color w:val="000000"/>
                <w:sz w:val="20"/>
                <w:szCs w:val="20"/>
                <w:lang w:eastAsia="ru-RU"/>
              </w:rPr>
              <w:t xml:space="preserve"> до цієї тендерної документації.</w:t>
            </w:r>
          </w:p>
          <w:p>
            <w:pPr>
              <w:spacing w:after="0" w:line="240" w:lineRule="auto"/>
              <w:ind w:left="0" w:leftChars="0" w:firstLine="240" w:firstLineChars="0"/>
              <w:jc w:val="both"/>
              <w:rPr>
                <w:sz w:val="20"/>
                <w:szCs w:val="20"/>
              </w:rPr>
            </w:pPr>
            <w:r>
              <w:rPr>
                <w:sz w:val="20"/>
                <w:szCs w:val="20"/>
                <w:lang w:eastAsia="ru-RU"/>
              </w:rPr>
              <w:t xml:space="preserve">Договір про закупівлю укладається відповідно до норм </w:t>
            </w:r>
            <w:r>
              <w:fldChar w:fldCharType="begin"/>
            </w:r>
            <w:r>
              <w:instrText xml:space="preserve"> HYPERLINK "https://zakon.rada.gov.ua/laws/show/435-15" \t "_blank" \h </w:instrText>
            </w:r>
            <w:r>
              <w:fldChar w:fldCharType="separate"/>
            </w:r>
            <w:r>
              <w:rPr>
                <w:color w:val="000000"/>
                <w:sz w:val="20"/>
                <w:szCs w:val="20"/>
              </w:rPr>
              <w:t>Цивільного</w:t>
            </w:r>
            <w:r>
              <w:rPr>
                <w:color w:val="000000"/>
                <w:sz w:val="20"/>
                <w:szCs w:val="20"/>
              </w:rPr>
              <w:fldChar w:fldCharType="end"/>
            </w:r>
            <w:r>
              <w:rPr>
                <w:rStyle w:val="148"/>
                <w:sz w:val="20"/>
                <w:szCs w:val="20"/>
              </w:rPr>
              <w:t xml:space="preserve"> та </w:t>
            </w:r>
            <w:r>
              <w:fldChar w:fldCharType="begin"/>
            </w:r>
            <w:r>
              <w:instrText xml:space="preserve"> HYPERLINK "https://zakon.rada.gov.ua/laws/show/436-15" \t "_blank" \h </w:instrText>
            </w:r>
            <w:r>
              <w:fldChar w:fldCharType="separate"/>
            </w:r>
            <w:r>
              <w:rPr>
                <w:color w:val="000000"/>
                <w:sz w:val="20"/>
                <w:szCs w:val="20"/>
              </w:rPr>
              <w:t>Господарського</w:t>
            </w:r>
            <w:r>
              <w:rPr>
                <w:color w:val="000000"/>
                <w:sz w:val="20"/>
                <w:szCs w:val="20"/>
              </w:rPr>
              <w:fldChar w:fldCharType="end"/>
            </w:r>
            <w:r>
              <w:rPr>
                <w:rStyle w:val="148"/>
                <w:sz w:val="20"/>
                <w:szCs w:val="20"/>
              </w:rPr>
              <w:t xml:space="preserve"> кодексів України </w:t>
            </w:r>
            <w:r>
              <w:rPr>
                <w:color w:val="000000" w:themeColor="text1"/>
                <w:sz w:val="20"/>
                <w:szCs w:val="20"/>
                <w:lang w:val="uk-UA"/>
                <w14:textFill>
                  <w14:solidFill>
                    <w14:schemeClr w14:val="tx1"/>
                  </w14:solidFill>
                </w14:textFill>
              </w:rPr>
              <w:t>з урахуванням положень статті 41 Закону, крім частин другої – п’ятої, сьомої-дев’ятої статті 41 Закону</w:t>
            </w:r>
            <w:r>
              <w:rPr>
                <w:rFonts w:hint="default"/>
                <w:color w:val="000000" w:themeColor="text1"/>
                <w:sz w:val="20"/>
                <w:szCs w:val="20"/>
                <w:lang w:val="uk"/>
                <w14:textFill>
                  <w14:solidFill>
                    <w14:schemeClr w14:val="tx1"/>
                  </w14:solidFill>
                </w14:textFill>
              </w:rPr>
              <w:t xml:space="preserve"> та </w:t>
            </w:r>
            <w:r>
              <w:rPr>
                <w:color w:val="000000" w:themeColor="text1"/>
                <w:sz w:val="20"/>
                <w:szCs w:val="20"/>
                <w:lang w:val="uk-UA"/>
                <w14:textFill>
                  <w14:solidFill>
                    <w14:schemeClr w14:val="tx1"/>
                  </w14:solidFill>
                </w14:textFill>
              </w:rPr>
              <w:t xml:space="preserve"> Особливостей.</w:t>
            </w:r>
          </w:p>
          <w:p>
            <w:pPr>
              <w:spacing w:after="0" w:line="240" w:lineRule="auto"/>
              <w:ind w:left="0" w:leftChars="0" w:firstLine="240" w:firstLineChars="0"/>
              <w:jc w:val="both"/>
              <w:rPr>
                <w:sz w:val="20"/>
                <w:szCs w:val="20"/>
              </w:rPr>
            </w:pPr>
            <w:r>
              <w:rPr>
                <w:color w:val="000000"/>
                <w:sz w:val="20"/>
                <w:szCs w:val="20"/>
                <w:shd w:val="clear" w:color="auto" w:fill="FFFFFF"/>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0"/>
                <w:szCs w:val="20"/>
                <w:shd w:val="clear" w:color="auto" w:fill="FFFFFF"/>
              </w:rPr>
              <w:t>у строки, визначені пунктом 2 «Строк укладання договору про закупівлю» цього розділу</w:t>
            </w:r>
            <w:r>
              <w:rPr>
                <w:sz w:val="20"/>
                <w:szCs w:val="20"/>
              </w:rPr>
              <w:t>.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4.</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Істотні умови, що обов'язково включаються до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hd w:val="clear" w:fill="FFFFFF"/>
              <w:spacing w:before="120" w:after="0" w:line="240" w:lineRule="auto"/>
              <w:ind w:left="0" w:leftChars="0" w:firstLine="240" w:firstLineChars="120"/>
              <w:jc w:val="both"/>
              <w:rPr>
                <w:rFonts w:ascii="Times New Roman" w:hAnsi="Times New Roman" w:eastAsia="Times New Roman" w:cs="Times New Roman"/>
                <w:sz w:val="20"/>
                <w:szCs w:val="20"/>
              </w:rPr>
            </w:pPr>
            <w:r>
              <w:rPr>
                <w:color w:val="000000" w:themeColor="text1"/>
                <w:sz w:val="20"/>
                <w:szCs w:val="20"/>
                <w:highlight w:val="white"/>
                <w:lang w:val="uk-UA"/>
                <w14:textFill>
                  <w14:solidFill>
                    <w14:schemeClr w14:val="tx1"/>
                  </w14:solidFill>
                </w14:textFill>
              </w:rPr>
              <w:t>Згідно з пунктом 18 Особливостей</w:t>
            </w:r>
            <w:r>
              <w:rPr>
                <w:rFonts w:hint="default"/>
                <w:color w:val="000000" w:themeColor="text1"/>
                <w:sz w:val="20"/>
                <w:szCs w:val="20"/>
                <w:highlight w:val="white"/>
                <w:lang w:val="uk-UA"/>
                <w14:textFill>
                  <w14:solidFill>
                    <w14:schemeClr w14:val="tx1"/>
                  </w14:solidFill>
                </w14:textFill>
              </w:rPr>
              <w:t xml:space="preserve"> у</w:t>
            </w:r>
            <w:r>
              <w:rPr>
                <w:rFonts w:ascii="Times New Roman" w:hAnsi="Times New Roman" w:eastAsia="Times New Roman" w:cs="Times New Roman"/>
                <w:sz w:val="20"/>
                <w:szCs w:val="20"/>
                <w:rtl w:val="0"/>
              </w:rPr>
              <w:t xml:space="preserve">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0"/>
                <w:szCs w:val="20"/>
                <w:highlight w:val="white"/>
                <w:rtl w:val="0"/>
              </w:rPr>
              <w:t>у тому числі за результатами електронного аукціону, кр</w:t>
            </w:r>
            <w:r>
              <w:rPr>
                <w:rFonts w:ascii="Times New Roman" w:hAnsi="Times New Roman" w:eastAsia="Times New Roman" w:cs="Times New Roman"/>
                <w:sz w:val="20"/>
                <w:szCs w:val="20"/>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hint="default" w:ascii="Times New Roman" w:hAnsi="Times New Roman" w:eastAsia="Times New Roman" w:cs="Times New Roman"/>
                <w:sz w:val="20"/>
                <w:szCs w:val="20"/>
                <w:rtl w:val="0"/>
                <w:lang w:val="uk"/>
              </w:rPr>
            </w:pPr>
            <w:r>
              <w:rPr>
                <w:rFonts w:ascii="Times New Roman" w:hAnsi="Times New Roman" w:eastAsia="Times New Roman" w:cs="Times New Roman"/>
                <w:sz w:val="20"/>
                <w:szCs w:val="20"/>
                <w:rtl w:val="0"/>
              </w:rPr>
              <w:t>визначення грошового еквівалента зобов’язання в іноземній валюті</w:t>
            </w:r>
            <w:r>
              <w:rPr>
                <w:rFonts w:hint="default" w:ascii="Times New Roman" w:hAnsi="Times New Roman" w:eastAsia="Times New Roman" w:cs="Times New Roman"/>
                <w:sz w:val="20"/>
                <w:szCs w:val="20"/>
                <w:rtl w:val="0"/>
                <w:lang w:val="uk"/>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0" w:leftChars="0" w:firstLine="240" w:firstLineChars="120"/>
              <w:jc w:val="both"/>
              <w:rPr>
                <w:rFonts w:hint="default"/>
                <w:sz w:val="20"/>
                <w:szCs w:val="20"/>
                <w:lang w:val="uk"/>
              </w:rPr>
            </w:pPr>
            <w:r>
              <w:rPr>
                <w:rFonts w:ascii="Times New Roman" w:hAnsi="Times New Roman" w:eastAsia="Times New Roman" w:cs="Times New Roman"/>
                <w:sz w:val="20"/>
                <w:szCs w:val="20"/>
                <w:rtl w:val="0"/>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0"/>
                <w:szCs w:val="20"/>
                <w:rtl w:val="0"/>
                <w:lang w:val="uk"/>
              </w:rPr>
              <w:t>.</w:t>
            </w:r>
          </w:p>
          <w:p>
            <w:pPr>
              <w:spacing w:after="0" w:line="240" w:lineRule="auto"/>
              <w:ind w:left="0" w:leftChars="0" w:firstLine="240" w:firstLineChars="0"/>
              <w:jc w:val="both"/>
              <w:rPr>
                <w:rFonts w:hint="default" w:ascii="Times New Roman" w:hAnsi="Times New Roman" w:cs="Times New Roman"/>
                <w:sz w:val="20"/>
                <w:szCs w:val="20"/>
              </w:rPr>
            </w:pPr>
            <w:r>
              <w:rPr>
                <w:sz w:val="20"/>
                <w:szCs w:val="20"/>
              </w:rPr>
              <w:t>У випадку перерахунку ціни за результатами відкритих торгів</w:t>
            </w:r>
            <w:r>
              <w:rPr>
                <w:color w:val="FF0000"/>
                <w:sz w:val="20"/>
                <w:szCs w:val="20"/>
              </w:rPr>
              <w:t xml:space="preserve"> </w:t>
            </w:r>
            <w:r>
              <w:rPr>
                <w:sz w:val="20"/>
                <w:szCs w:val="20"/>
              </w:rPr>
              <w:t xml:space="preserve">в бік зменшення ціни тендерної пропозиції без зменшення обсягів закупівлі, переможець до </w:t>
            </w:r>
            <w:r>
              <w:rPr>
                <w:rFonts w:hint="default" w:ascii="Times New Roman" w:hAnsi="Times New Roman" w:cs="Times New Roman"/>
                <w:sz w:val="20"/>
                <w:szCs w:val="20"/>
              </w:rPr>
              <w:t>укладення договору надає Замовнику відповідний перерахунок.</w:t>
            </w:r>
          </w:p>
          <w:p>
            <w:pPr>
              <w:spacing w:after="0" w:line="240" w:lineRule="auto"/>
              <w:ind w:left="0" w:leftChars="0" w:firstLine="240" w:firstLineChars="0"/>
              <w:jc w:val="both"/>
              <w:rPr>
                <w:rFonts w:hint="default" w:ascii="Times New Roman" w:hAnsi="Times New Roman" w:cs="Times New Roman"/>
                <w:color w:val="auto"/>
                <w:sz w:val="20"/>
                <w:szCs w:val="20"/>
              </w:rPr>
            </w:pPr>
            <w:r>
              <w:rPr>
                <w:color w:val="auto"/>
                <w:sz w:val="20"/>
                <w:szCs w:val="20"/>
                <w:lang w:val="uk-UA"/>
              </w:rPr>
              <w:t xml:space="preserve">Істотні умови, що обов’язково включаються до договору про закупівлю викладено в </w:t>
            </w:r>
            <w:r>
              <w:rPr>
                <w:bCs/>
                <w:color w:val="auto"/>
                <w:sz w:val="20"/>
                <w:szCs w:val="20"/>
                <w:lang w:val="uk-UA"/>
              </w:rPr>
              <w:t xml:space="preserve"> ПРОЕКТІ ДОГОВОРУ ПРО ЗАКУПІВЛЮ</w:t>
            </w:r>
            <w:r>
              <w:rPr>
                <w:color w:val="auto"/>
                <w:sz w:val="20"/>
                <w:szCs w:val="20"/>
                <w:lang w:val="uk-UA"/>
              </w:rPr>
              <w:t xml:space="preserve">, який наведений у </w:t>
            </w:r>
            <w:r>
              <w:rPr>
                <w:b/>
                <w:bCs/>
                <w:color w:val="auto"/>
                <w:sz w:val="20"/>
                <w:szCs w:val="20"/>
                <w:lang w:val="uk-UA"/>
              </w:rPr>
              <w:t>Додатку №</w:t>
            </w:r>
            <w:r>
              <w:rPr>
                <w:rFonts w:hint="default"/>
                <w:b/>
                <w:bCs/>
                <w:color w:val="auto"/>
                <w:sz w:val="20"/>
                <w:szCs w:val="20"/>
                <w:lang w:val="uk-UA"/>
              </w:rPr>
              <w:t>6</w:t>
            </w:r>
            <w:r>
              <w:rPr>
                <w:color w:val="auto"/>
                <w:sz w:val="20"/>
                <w:szCs w:val="20"/>
                <w:lang w:val="uk-UA"/>
              </w:rPr>
              <w:t xml:space="preserve"> цієї тендерної документації</w:t>
            </w:r>
            <w:r>
              <w:rPr>
                <w:rFonts w:hint="default"/>
                <w:color w:val="auto"/>
                <w:sz w:val="20"/>
                <w:szCs w:val="20"/>
                <w:lang w:val="uk-UA"/>
              </w:rPr>
              <w:t>.</w:t>
            </w:r>
          </w:p>
          <w:p>
            <w:pPr>
              <w:keepNext w:val="0"/>
              <w:keepLines w:val="0"/>
              <w:widowControl/>
              <w:suppressLineNumbers w:val="0"/>
              <w:ind w:firstLine="200" w:firstLineChars="100"/>
              <w:jc w:val="left"/>
              <w:rPr>
                <w:sz w:val="20"/>
                <w:szCs w:val="20"/>
              </w:rPr>
            </w:pPr>
            <w:r>
              <w:rPr>
                <w:rFonts w:hint="default" w:ascii="Times New Roman" w:hAnsi="Times New Roman" w:eastAsia="Arial" w:cs="Times New Roman"/>
                <w:i w:val="0"/>
                <w:caps w:val="0"/>
                <w:color w:val="auto"/>
                <w:spacing w:val="0"/>
                <w:kern w:val="0"/>
                <w:sz w:val="20"/>
                <w:szCs w:val="20"/>
                <w:shd w:val="clear" w:fill="FFFFFF"/>
                <w:lang w:val="en-US" w:eastAsia="zh-CN" w:bidi="ar"/>
              </w:rPr>
              <w:t>Істотними умовами договору про закупівлю є </w:t>
            </w:r>
            <w:r>
              <w:rPr>
                <w:rFonts w:hint="default" w:ascii="Times New Roman" w:hAnsi="Times New Roman" w:eastAsia="Arial" w:cs="Times New Roman"/>
                <w:i w:val="0"/>
                <w:caps w:val="0"/>
                <w:color w:val="auto"/>
                <w:spacing w:val="0"/>
                <w:kern w:val="0"/>
                <w:sz w:val="20"/>
                <w:szCs w:val="20"/>
                <w:lang w:val="en-US" w:eastAsia="zh-CN" w:bidi="ar"/>
              </w:rPr>
              <w:t>предмет (найменування, кількість, якість), ціна та строк дії договору про закупівлю</w:t>
            </w:r>
            <w:r>
              <w:rPr>
                <w:rFonts w:hint="default" w:ascii="Times New Roman" w:hAnsi="Times New Roman" w:eastAsia="Arial" w:cs="Times New Roman"/>
                <w:i w:val="0"/>
                <w:caps w:val="0"/>
                <w:color w:val="auto"/>
                <w:spacing w:val="0"/>
                <w:kern w:val="0"/>
                <w:sz w:val="20"/>
                <w:szCs w:val="20"/>
                <w:lang w:val="uk" w:eastAsia="zh-CN" w:bidi="ar"/>
              </w:rPr>
              <w:t>.</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 xml:space="preserve">5. </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Дії замовника при відмові переможця торгів підписати договір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w:t>
            </w:r>
            <w:r>
              <w:rPr>
                <w:rFonts w:hint="default"/>
                <w:sz w:val="20"/>
                <w:szCs w:val="20"/>
                <w:lang w:val="uk-UA"/>
              </w:rPr>
              <w:t xml:space="preserve"> серед тих учасників</w:t>
            </w:r>
            <w:r>
              <w:rPr>
                <w:sz w:val="20"/>
                <w:szCs w:val="20"/>
              </w:rPr>
              <w:t>,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CellMar>
            <w:top w:w="0" w:type="dxa"/>
            <w:left w:w="78" w:type="dxa"/>
            <w:bottom w:w="0" w:type="dxa"/>
            <w:right w:w="108" w:type="dxa"/>
          </w:tblCellMar>
        </w:tblPrEx>
        <w:tc>
          <w:tcPr>
            <w:tcW w:w="603"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6.</w:t>
            </w:r>
          </w:p>
        </w:tc>
        <w:tc>
          <w:tcPr>
            <w:tcW w:w="2394"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rPr>
                <w:b/>
                <w:bCs/>
                <w:sz w:val="20"/>
                <w:szCs w:val="20"/>
              </w:rPr>
            </w:pPr>
            <w:r>
              <w:rPr>
                <w:b/>
                <w:bCs/>
                <w:sz w:val="20"/>
                <w:szCs w:val="20"/>
              </w:rPr>
              <w:t>Забезпечення виконання договору про закупівлю</w:t>
            </w:r>
          </w:p>
        </w:tc>
        <w:tc>
          <w:tcPr>
            <w:tcW w:w="7321" w:type="dxa"/>
            <w:tcBorders>
              <w:top w:val="thickThinSmallGap" w:color="C0C0C0" w:sz="12" w:space="0"/>
              <w:left w:val="thickThinSmallGap" w:color="C0C0C0" w:sz="12" w:space="0"/>
              <w:bottom w:val="thickThinSmallGap" w:color="C0C0C0" w:sz="12" w:space="0"/>
              <w:right w:val="thickThinSmallGap" w:color="C0C0C0" w:sz="12" w:space="0"/>
            </w:tcBorders>
            <w:shd w:val="clear" w:color="auto" w:fill="auto"/>
            <w:vAlign w:val="center"/>
          </w:tcPr>
          <w:p>
            <w:pPr>
              <w:spacing w:after="0" w:line="240" w:lineRule="auto"/>
              <w:ind w:left="0" w:leftChars="0" w:firstLine="240" w:firstLineChars="0"/>
              <w:jc w:val="both"/>
              <w:rPr>
                <w:sz w:val="20"/>
                <w:szCs w:val="20"/>
              </w:rPr>
            </w:pPr>
            <w:r>
              <w:rPr>
                <w:sz w:val="20"/>
                <w:szCs w:val="20"/>
              </w:rPr>
              <w:t>Забезпечення виконання договору про закупівлю не вимагається.</w:t>
            </w:r>
          </w:p>
        </w:tc>
      </w:tr>
    </w:tbl>
    <w:p>
      <w:pPr>
        <w:pStyle w:val="168"/>
        <w:jc w:val="right"/>
      </w:pPr>
    </w:p>
    <w:p/>
    <w:p/>
    <w:p/>
    <w:p>
      <w:pPr>
        <w:sectPr>
          <w:type w:val="continuous"/>
          <w:pgSz w:w="11906" w:h="16838"/>
          <w:pgMar w:top="596" w:right="465" w:bottom="766" w:left="902" w:header="539" w:footer="709" w:gutter="0"/>
          <w:cols w:space="720" w:num="1"/>
          <w:formProt w:val="0"/>
          <w:docGrid w:linePitch="360" w:charSpace="0"/>
        </w:sectPr>
      </w:pPr>
    </w:p>
    <w:p/>
    <w:p>
      <w:pPr>
        <w:sectPr>
          <w:type w:val="continuous"/>
          <w:pgSz w:w="11906" w:h="16838"/>
          <w:pgMar w:top="596" w:right="465" w:bottom="766" w:left="902" w:header="539" w:footer="709" w:gutter="0"/>
          <w:cols w:space="720" w:num="1"/>
          <w:formProt w:val="0"/>
          <w:docGrid w:linePitch="360" w:charSpace="0"/>
        </w:sectPr>
      </w:pPr>
    </w:p>
    <w:p/>
    <w:p>
      <w:pPr>
        <w:sectPr>
          <w:type w:val="continuous"/>
          <w:pgSz w:w="11906" w:h="16838"/>
          <w:pgMar w:top="596" w:right="465" w:bottom="766" w:left="902" w:header="539" w:footer="709" w:gutter="0"/>
          <w:cols w:space="720" w:num="1"/>
          <w:formProt w:val="0"/>
          <w:docGrid w:linePitch="360" w:charSpace="0"/>
        </w:sectPr>
      </w:pPr>
    </w:p>
    <w:p/>
    <w:sectPr>
      <w:type w:val="continuous"/>
      <w:pgSz w:w="11906" w:h="16838"/>
      <w:pgMar w:top="596" w:right="465" w:bottom="766" w:left="902" w:header="539" w:footer="709" w:gutter="0"/>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panose1 w:val="02010600030101010101"/>
    <w:charset w:val="86"/>
    <w:family w:val="auto"/>
    <w:pitch w:val="default"/>
    <w:sig w:usb0="00000003" w:usb1="080E0000" w:usb2="00000000" w:usb3="00000000" w:csb0="00040001" w:csb1="00000000"/>
  </w:font>
  <w:font w:name="Liberation Serif;Times New Roma">
    <w:altName w:val="DejaVu Sans"/>
    <w:panose1 w:val="00000000000000000000"/>
    <w:charset w:val="00"/>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Tahoma">
    <w:altName w:val="Verdana"/>
    <w:panose1 w:val="020B0604030504040204"/>
    <w:charset w:val="CC"/>
    <w:family w:val="swiss"/>
    <w:pitch w:val="default"/>
    <w:sig w:usb0="00000000" w:usb1="00000000" w:usb2="00000029" w:usb3="00000000" w:csb0="200101FF" w:csb1="20280000"/>
  </w:font>
  <w:font w:name="Arial Narrow">
    <w:altName w:val="Times New Roman"/>
    <w:panose1 w:val="020B0606020202030204"/>
    <w:charset w:val="CC"/>
    <w:family w:val="swiss"/>
    <w:pitch w:val="default"/>
    <w:sig w:usb0="00000000" w:usb1="00000000" w:usb2="00000000" w:usb3="00000000" w:csb0="0000009F" w:csb1="00000000"/>
  </w:font>
  <w:font w:name="Lohit Devanagari;Times New Roma">
    <w:altName w:val="DejaVu Sans"/>
    <w:panose1 w:val="00000000000000000000"/>
    <w:charset w:val="00"/>
    <w:family w:val="auto"/>
    <w:pitch w:val="default"/>
    <w:sig w:usb0="00000000" w:usb1="00000000" w:usb2="00000000" w:usb3="00000000" w:csb0="00000000" w:csb1="00000000"/>
  </w:font>
  <w:font w:name="Cambria">
    <w:altName w:val="Georgia"/>
    <w:panose1 w:val="02040503050406030204"/>
    <w:charset w:val="CC"/>
    <w:family w:val="roman"/>
    <w:pitch w:val="default"/>
    <w:sig w:usb0="00000000" w:usb1="00000000" w:usb2="02000000" w:usb3="00000000" w:csb0="2000019F" w:csb1="00000000"/>
  </w:font>
  <w:font w:name="Symbol">
    <w:panose1 w:val="05050102010706020507"/>
    <w:charset w:val="02"/>
    <w:family w:val="roman"/>
    <w:pitch w:val="default"/>
    <w:sig w:usb0="00000000" w:usb1="00000000" w:usb2="00000000" w:usb3="00000000" w:csb0="80000000" w:csb1="00000000"/>
  </w:font>
  <w:font w:name="Noto Sans CJK SC">
    <w:panose1 w:val="020B0500000000000000"/>
    <w:charset w:val="86"/>
    <w:family w:val="auto"/>
    <w:pitch w:val="default"/>
    <w:sig w:usb0="30000083" w:usb1="2BDF3C10" w:usb2="00000016" w:usb3="00000000" w:csb0="602E0107" w:csb1="00000000"/>
  </w:font>
  <w:font w:name="Liberation Sans;Arial">
    <w:altName w:val="Times New Roman"/>
    <w:panose1 w:val="00000000000000000000"/>
    <w:charset w:val="00"/>
    <w:family w:val="auto"/>
    <w:pitch w:val="default"/>
    <w:sig w:usb0="00000000" w:usb1="00000000" w:usb2="00000000" w:usb3="00000000" w:csb0="00000000" w:csb1="00000000"/>
  </w:font>
  <w:font w:name="Noto Sans CJK SC Regular">
    <w:altName w:val="Gubbi"/>
    <w:panose1 w:val="00000000000000000000"/>
    <w:charset w:val="00"/>
    <w:family w:val="auto"/>
    <w:pitch w:val="default"/>
    <w:sig w:usb0="00000000" w:usb1="00000000" w:usb2="00000000" w:usb3="00000000" w:csb0="00000000" w:csb1="00000000"/>
  </w:font>
  <w:font w:name="Arial Unicode MS">
    <w:altName w:val="Times New Roman"/>
    <w:panose1 w:val="020B0604020202020204"/>
    <w:charset w:val="80"/>
    <w:family w:val="swiss"/>
    <w:pitch w:val="default"/>
    <w:sig w:usb0="00000000" w:usb1="00000000" w:usb2="0000003F" w:usb3="00000000" w:csb0="003F01FF" w:csb1="00000000"/>
  </w:font>
  <w:font w:name="Antiqua">
    <w:altName w:val="Gubbi"/>
    <w:panose1 w:val="00000000000000000000"/>
    <w:charset w:val="01"/>
    <w:family w:val="roman"/>
    <w:pitch w:val="default"/>
    <w:sig w:usb0="000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4"/>
        <w:szCs w:val="14"/>
      </w:rPr>
      <w:fldChar w:fldCharType="begin"/>
    </w:r>
    <w:r>
      <w:rPr>
        <w:sz w:val="14"/>
        <w:szCs w:val="14"/>
      </w:rPr>
      <w:instrText xml:space="preserve">PAGE</w:instrText>
    </w:r>
    <w:r>
      <w:rPr>
        <w:sz w:val="14"/>
        <w:szCs w:val="14"/>
      </w:rPr>
      <w:fldChar w:fldCharType="separate"/>
    </w:r>
    <w:r>
      <w:rPr>
        <w:sz w:val="14"/>
        <w:szCs w:val="14"/>
      </w:rPr>
      <w:t>4</w:t>
    </w:r>
    <w:r>
      <w:rP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505F1"/>
    <w:multiLevelType w:val="singleLevel"/>
    <w:tmpl w:val="813505F1"/>
    <w:lvl w:ilvl="0" w:tentative="0">
      <w:start w:val="1"/>
      <w:numFmt w:val="decimal"/>
      <w:suff w:val="space"/>
      <w:lvlText w:val="%1."/>
      <w:lvlJc w:val="left"/>
    </w:lvl>
  </w:abstractNum>
  <w:abstractNum w:abstractNumId="1">
    <w:nsid w:val="CEBCA6F6"/>
    <w:multiLevelType w:val="multilevel"/>
    <w:tmpl w:val="CEBCA6F6"/>
    <w:lvl w:ilvl="0" w:tentative="0">
      <w:start w:val="1"/>
      <w:numFmt w:val="none"/>
      <w:pStyle w:val="2"/>
      <w:suff w:val="nothing"/>
      <w:lvlText w:val=""/>
      <w:lvlJc w:val="left"/>
      <w:pPr>
        <w:tabs>
          <w:tab w:val="left" w:pos="0"/>
        </w:tabs>
        <w:ind w:left="0" w:firstLine="0"/>
      </w:pPr>
      <w:rPr>
        <w:rFonts w:cs="Times New Roman"/>
      </w:r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rPr>
        <w:rFonts w:cs="Times New Roman"/>
      </w:r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FC7A0556"/>
    <w:multiLevelType w:val="multilevel"/>
    <w:tmpl w:val="FC7A0556"/>
    <w:lvl w:ilvl="0" w:tentative="0">
      <w:start w:val="1"/>
      <w:numFmt w:val="bullet"/>
      <w:lvlText w:val="-"/>
      <w:lvlJc w:val="left"/>
      <w:pPr>
        <w:tabs>
          <w:tab w:val="left" w:pos="420"/>
        </w:tabs>
        <w:ind w:left="420" w:hanging="420"/>
      </w:pPr>
      <w:rPr>
        <w:rFonts w:hint="default"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FCFA3970"/>
    <w:multiLevelType w:val="singleLevel"/>
    <w:tmpl w:val="FCFA3970"/>
    <w:lvl w:ilvl="0" w:tentative="0">
      <w:start w:val="1"/>
      <w:numFmt w:val="bullet"/>
      <w:lvlText w:val="-"/>
      <w:lvlJc w:val="left"/>
      <w:pPr>
        <w:tabs>
          <w:tab w:val="left" w:pos="420"/>
        </w:tabs>
        <w:ind w:left="420" w:leftChars="0" w:hanging="420" w:firstLineChars="0"/>
      </w:pPr>
      <w:rPr>
        <w:rFonts w:hint="default" w:ascii="Abyssinica SIL" w:hAnsi="Abyssinica SIL" w:cs="Abyssinica SI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708"/>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C"/>
    <w:rsid w:val="000F78E4"/>
    <w:rsid w:val="00C25EF0"/>
    <w:rsid w:val="00DA1B64"/>
    <w:rsid w:val="00FE540C"/>
    <w:rsid w:val="0BEF5A30"/>
    <w:rsid w:val="147266DF"/>
    <w:rsid w:val="157A6635"/>
    <w:rsid w:val="1A485BE0"/>
    <w:rsid w:val="272C7D13"/>
    <w:rsid w:val="281324FB"/>
    <w:rsid w:val="32AD688D"/>
    <w:rsid w:val="38F142D2"/>
    <w:rsid w:val="3DFDF472"/>
    <w:rsid w:val="3ECF6816"/>
    <w:rsid w:val="3EE9AABC"/>
    <w:rsid w:val="3FEECA49"/>
    <w:rsid w:val="43AF0227"/>
    <w:rsid w:val="43E772AB"/>
    <w:rsid w:val="4D4C2AC4"/>
    <w:rsid w:val="55FF2E14"/>
    <w:rsid w:val="56BE1F99"/>
    <w:rsid w:val="5FBF7FF8"/>
    <w:rsid w:val="651E2BC7"/>
    <w:rsid w:val="67BF9315"/>
    <w:rsid w:val="69816438"/>
    <w:rsid w:val="6E1514C9"/>
    <w:rsid w:val="6E7510D0"/>
    <w:rsid w:val="6EF75B69"/>
    <w:rsid w:val="6FDF8928"/>
    <w:rsid w:val="77BB5728"/>
    <w:rsid w:val="79D7B0D0"/>
    <w:rsid w:val="7E76A04E"/>
    <w:rsid w:val="7EB93F99"/>
    <w:rsid w:val="7FBF6BC5"/>
    <w:rsid w:val="7FF756B6"/>
    <w:rsid w:val="A6BB094C"/>
    <w:rsid w:val="AA17BC21"/>
    <w:rsid w:val="B6674B56"/>
    <w:rsid w:val="BD9FF572"/>
    <w:rsid w:val="BFEDD937"/>
    <w:rsid w:val="C8FF75D7"/>
    <w:rsid w:val="D45CD20B"/>
    <w:rsid w:val="D6CF7863"/>
    <w:rsid w:val="DFF5402F"/>
    <w:rsid w:val="EDDDAF8C"/>
    <w:rsid w:val="EDEFB659"/>
    <w:rsid w:val="F6DF4778"/>
    <w:rsid w:val="FADEF795"/>
    <w:rsid w:val="FCFF95ED"/>
    <w:rsid w:val="FDDBC569"/>
    <w:rsid w:val="FFB73AD1"/>
    <w:rsid w:val="FFDF656B"/>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99"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ocked="1"/>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0" w:semiHidden="0" w:name="List Paragraph"/>
  </w:latentStyles>
  <w:style w:type="paragraph" w:default="1" w:styleId="1">
    <w:name w:val="Normal"/>
    <w:qFormat/>
    <w:uiPriority w:val="0"/>
    <w:pPr>
      <w:suppressAutoHyphens/>
      <w:spacing w:after="160" w:line="259" w:lineRule="auto"/>
    </w:pPr>
    <w:rPr>
      <w:rFonts w:ascii="Times New Roman" w:hAnsi="Times New Roman" w:eastAsia="SimSun" w:cs="Times New Roman"/>
      <w:sz w:val="24"/>
      <w:szCs w:val="24"/>
      <w:lang w:val="uk-UA" w:eastAsia="zh-CN" w:bidi="ar-SA"/>
    </w:rPr>
  </w:style>
  <w:style w:type="paragraph" w:styleId="2">
    <w:name w:val="heading 1"/>
    <w:basedOn w:val="1"/>
    <w:next w:val="1"/>
    <w:qFormat/>
    <w:uiPriority w:val="99"/>
    <w:pPr>
      <w:keepNext/>
      <w:widowControl w:val="0"/>
      <w:numPr>
        <w:ilvl w:val="0"/>
        <w:numId w:val="1"/>
      </w:numPr>
      <w:spacing w:before="240" w:after="240" w:line="360" w:lineRule="auto"/>
      <w:jc w:val="center"/>
      <w:outlineLvl w:val="0"/>
    </w:pPr>
    <w:rPr>
      <w:rFonts w:cs="Arial"/>
      <w:b/>
      <w:bCs/>
      <w:szCs w:val="18"/>
    </w:rPr>
  </w:style>
  <w:style w:type="paragraph" w:styleId="3">
    <w:name w:val="heading 2"/>
    <w:basedOn w:val="1"/>
    <w:next w:val="1"/>
    <w:link w:val="22"/>
    <w:qFormat/>
    <w:uiPriority w:val="99"/>
    <w:pPr>
      <w:keepNext/>
      <w:jc w:val="both"/>
      <w:outlineLvl w:val="1"/>
    </w:pPr>
    <w:rPr>
      <w:sz w:val="28"/>
    </w:rPr>
  </w:style>
  <w:style w:type="paragraph" w:styleId="4">
    <w:name w:val="heading 3"/>
    <w:basedOn w:val="1"/>
    <w:next w:val="1"/>
    <w:link w:val="23"/>
    <w:qFormat/>
    <w:uiPriority w:val="99"/>
    <w:pPr>
      <w:widowControl w:val="0"/>
      <w:numPr>
        <w:ilvl w:val="2"/>
        <w:numId w:val="1"/>
      </w:numPr>
      <w:spacing w:before="140" w:after="0"/>
      <w:outlineLvl w:val="2"/>
    </w:pPr>
    <w:rPr>
      <w:rFonts w:ascii="Liberation Serif;Times New Roma" w:hAnsi="Liberation Serif;Times New Roma" w:cstheme="minorBidi"/>
      <w:b/>
      <w:bCs/>
      <w:szCs w:val="20"/>
      <w:lang w:bidi="hi-IN"/>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locked/>
    <w:uiPriority w:val="20"/>
    <w:rPr>
      <w:i/>
      <w:iCs/>
    </w:rPr>
  </w:style>
  <w:style w:type="character" w:styleId="8">
    <w:name w:val="Hyperlink"/>
    <w:basedOn w:val="5"/>
    <w:qFormat/>
    <w:locked/>
    <w:uiPriority w:val="0"/>
    <w:rPr>
      <w:color w:val="0000FF"/>
      <w:u w:val="single"/>
    </w:rPr>
  </w:style>
  <w:style w:type="paragraph" w:styleId="9">
    <w:name w:val="endnote text"/>
    <w:basedOn w:val="1"/>
    <w:qFormat/>
    <w:uiPriority w:val="99"/>
    <w:pPr>
      <w:suppressLineNumbers/>
      <w:ind w:left="339" w:hanging="339"/>
    </w:pPr>
    <w:rPr>
      <w:sz w:val="20"/>
      <w:szCs w:val="20"/>
    </w:rPr>
  </w:style>
  <w:style w:type="paragraph" w:styleId="10">
    <w:name w:val="caption"/>
    <w:basedOn w:val="1"/>
    <w:next w:val="1"/>
    <w:qFormat/>
    <w:uiPriority w:val="99"/>
    <w:pPr>
      <w:suppressLineNumbers/>
      <w:spacing w:before="120" w:after="120"/>
    </w:pPr>
    <w:rPr>
      <w:rFonts w:cs="Lohit Devanagari"/>
      <w:i/>
      <w:iCs/>
    </w:rPr>
  </w:style>
  <w:style w:type="paragraph" w:styleId="11">
    <w:name w:val="header"/>
    <w:basedOn w:val="1"/>
    <w:qFormat/>
    <w:uiPriority w:val="99"/>
    <w:pPr>
      <w:tabs>
        <w:tab w:val="center" w:pos="4677"/>
        <w:tab w:val="right" w:pos="9355"/>
      </w:tabs>
    </w:pPr>
  </w:style>
  <w:style w:type="paragraph" w:styleId="12">
    <w:name w:val="Body Text"/>
    <w:basedOn w:val="1"/>
    <w:link w:val="144"/>
    <w:qFormat/>
    <w:uiPriority w:val="99"/>
    <w:pPr>
      <w:spacing w:after="140" w:line="276" w:lineRule="auto"/>
    </w:pPr>
  </w:style>
  <w:style w:type="paragraph" w:styleId="13">
    <w:name w:val="Body Text Indent"/>
    <w:basedOn w:val="1"/>
    <w:qFormat/>
    <w:uiPriority w:val="99"/>
    <w:pPr>
      <w:spacing w:after="120"/>
      <w:ind w:left="283"/>
    </w:pPr>
  </w:style>
  <w:style w:type="paragraph" w:styleId="14">
    <w:name w:val="List Bullet 3"/>
    <w:basedOn w:val="1"/>
    <w:qFormat/>
    <w:uiPriority w:val="99"/>
    <w:pPr>
      <w:ind w:left="566" w:hanging="283"/>
    </w:pPr>
    <w:rPr>
      <w:rFonts w:cs="Tahoma"/>
      <w:sz w:val="20"/>
      <w:szCs w:val="20"/>
    </w:rPr>
  </w:style>
  <w:style w:type="paragraph" w:styleId="15">
    <w:name w:val="footer"/>
    <w:basedOn w:val="1"/>
    <w:qFormat/>
    <w:uiPriority w:val="99"/>
    <w:pPr>
      <w:tabs>
        <w:tab w:val="center" w:pos="4153"/>
        <w:tab w:val="right" w:pos="8306"/>
      </w:tabs>
    </w:pPr>
    <w:rPr>
      <w:rFonts w:cs="Arial Narrow"/>
    </w:rPr>
  </w:style>
  <w:style w:type="paragraph" w:styleId="16">
    <w:name w:val="List"/>
    <w:basedOn w:val="12"/>
    <w:qFormat/>
    <w:uiPriority w:val="99"/>
    <w:rPr>
      <w:rFonts w:cs="Lohit Devanagari;Times New Roma"/>
    </w:rPr>
  </w:style>
  <w:style w:type="paragraph" w:styleId="17">
    <w:name w:val="Normal (Web)"/>
    <w:basedOn w:val="1"/>
    <w:qFormat/>
    <w:uiPriority w:val="99"/>
    <w:pPr>
      <w:spacing w:before="280" w:after="280"/>
    </w:pPr>
  </w:style>
  <w:style w:type="paragraph" w:styleId="18">
    <w:name w:val="Subtitle"/>
    <w:basedOn w:val="1"/>
    <w:qFormat/>
    <w:uiPriority w:val="99"/>
    <w:rPr>
      <w:b/>
      <w:bCs/>
      <w:sz w:val="18"/>
      <w:szCs w:val="20"/>
    </w:rPr>
  </w:style>
  <w:style w:type="paragraph" w:styleId="19">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table" w:styleId="20">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1">
    <w:name w:val="Интернет-ссылка"/>
    <w:basedOn w:val="5"/>
    <w:qFormat/>
    <w:uiPriority w:val="99"/>
    <w:rPr>
      <w:color w:val="045EAC"/>
      <w:u w:val="none"/>
    </w:rPr>
  </w:style>
  <w:style w:type="character" w:customStyle="1" w:styleId="22">
    <w:name w:val="Заголовок 2 Знак"/>
    <w:basedOn w:val="5"/>
    <w:link w:val="3"/>
    <w:qFormat/>
    <w:uiPriority w:val="99"/>
    <w:rPr>
      <w:rFonts w:cs="Arial"/>
      <w:b/>
      <w:bCs/>
      <w:sz w:val="24"/>
      <w:szCs w:val="18"/>
      <w:lang w:val="uk-UA" w:eastAsia="zh-CN"/>
    </w:rPr>
  </w:style>
  <w:style w:type="character" w:customStyle="1" w:styleId="23">
    <w:name w:val="Заголовок 3 Знак1"/>
    <w:basedOn w:val="5"/>
    <w:link w:val="4"/>
    <w:semiHidden/>
    <w:qFormat/>
    <w:uiPriority w:val="9"/>
    <w:rPr>
      <w:rFonts w:asciiTheme="majorHAnsi" w:hAnsiTheme="majorHAnsi" w:eastAsiaTheme="majorEastAsia" w:cstheme="majorBidi"/>
      <w:b/>
      <w:bCs/>
      <w:i/>
      <w:iCs/>
      <w:sz w:val="28"/>
      <w:szCs w:val="28"/>
      <w:lang w:val="uk-UA" w:eastAsia="zh-CN"/>
    </w:rPr>
  </w:style>
  <w:style w:type="character" w:customStyle="1" w:styleId="24">
    <w:name w:val="Заголовок 3 Знак"/>
    <w:basedOn w:val="5"/>
    <w:qFormat/>
    <w:uiPriority w:val="99"/>
    <w:rPr>
      <w:rFonts w:ascii="Liberation Serif;Times New Roma" w:hAnsi="Liberation Serif;Times New Roma" w:cs="Lohit Devanagari;Times New Roma"/>
      <w:b/>
      <w:bCs/>
      <w:sz w:val="28"/>
      <w:szCs w:val="28"/>
      <w:lang w:val="uk-UA" w:eastAsia="zh-CN"/>
    </w:rPr>
  </w:style>
  <w:style w:type="character" w:customStyle="1" w:styleId="25">
    <w:name w:val="Основной текст Знак"/>
    <w:basedOn w:val="5"/>
    <w:semiHidden/>
    <w:qFormat/>
    <w:uiPriority w:val="99"/>
    <w:rPr>
      <w:sz w:val="24"/>
      <w:szCs w:val="24"/>
      <w:lang w:val="uk-UA" w:eastAsia="zh-CN"/>
    </w:rPr>
  </w:style>
  <w:style w:type="character" w:customStyle="1" w:styleId="26">
    <w:name w:val="Текст концевой сноски Знак"/>
    <w:basedOn w:val="5"/>
    <w:semiHidden/>
    <w:qFormat/>
    <w:uiPriority w:val="99"/>
    <w:rPr>
      <w:sz w:val="20"/>
      <w:szCs w:val="20"/>
      <w:lang w:val="uk-UA" w:eastAsia="zh-CN"/>
    </w:rPr>
  </w:style>
  <w:style w:type="character" w:customStyle="1" w:styleId="27">
    <w:name w:val="Верхний колонтитул Знак1"/>
    <w:basedOn w:val="5"/>
    <w:semiHidden/>
    <w:qFormat/>
    <w:uiPriority w:val="99"/>
    <w:rPr>
      <w:sz w:val="24"/>
      <w:szCs w:val="24"/>
      <w:lang w:val="uk-UA" w:eastAsia="zh-CN"/>
    </w:rPr>
  </w:style>
  <w:style w:type="character" w:customStyle="1" w:styleId="28">
    <w:name w:val="Основной текст с отступом Знак1"/>
    <w:basedOn w:val="5"/>
    <w:semiHidden/>
    <w:qFormat/>
    <w:uiPriority w:val="99"/>
    <w:rPr>
      <w:sz w:val="24"/>
      <w:szCs w:val="24"/>
      <w:lang w:val="uk-UA" w:eastAsia="zh-CN"/>
    </w:rPr>
  </w:style>
  <w:style w:type="character" w:customStyle="1" w:styleId="29">
    <w:name w:val="Нижний колонтитул Знак1"/>
    <w:basedOn w:val="5"/>
    <w:semiHidden/>
    <w:qFormat/>
    <w:uiPriority w:val="99"/>
    <w:rPr>
      <w:sz w:val="24"/>
      <w:szCs w:val="24"/>
      <w:lang w:val="uk-UA" w:eastAsia="zh-CN"/>
    </w:rPr>
  </w:style>
  <w:style w:type="character" w:customStyle="1" w:styleId="30">
    <w:name w:val="Подзаголовок Знак"/>
    <w:basedOn w:val="5"/>
    <w:qFormat/>
    <w:uiPriority w:val="11"/>
    <w:rPr>
      <w:rFonts w:asciiTheme="majorHAnsi" w:hAnsiTheme="majorHAnsi" w:eastAsiaTheme="majorEastAsia" w:cstheme="majorBidi"/>
      <w:sz w:val="24"/>
      <w:szCs w:val="24"/>
      <w:lang w:val="uk-UA" w:eastAsia="zh-CN"/>
    </w:rPr>
  </w:style>
  <w:style w:type="character" w:customStyle="1" w:styleId="31">
    <w:name w:val="Стандартный HTML Знак"/>
    <w:basedOn w:val="5"/>
    <w:semiHidden/>
    <w:qFormat/>
    <w:uiPriority w:val="99"/>
    <w:rPr>
      <w:rFonts w:ascii="Courier New" w:hAnsi="Courier New" w:cs="Courier New"/>
      <w:sz w:val="20"/>
      <w:szCs w:val="20"/>
      <w:lang w:val="uk-UA" w:eastAsia="zh-CN"/>
    </w:rPr>
  </w:style>
  <w:style w:type="character" w:customStyle="1" w:styleId="32">
    <w:name w:val="Выделение1"/>
    <w:qFormat/>
    <w:uiPriority w:val="99"/>
    <w:rPr>
      <w:i/>
    </w:rPr>
  </w:style>
  <w:style w:type="character" w:customStyle="1" w:styleId="33">
    <w:name w:val="WW8Num1z0"/>
    <w:qFormat/>
    <w:uiPriority w:val="99"/>
  </w:style>
  <w:style w:type="character" w:customStyle="1" w:styleId="34">
    <w:name w:val="WW8Num1z1"/>
    <w:qFormat/>
    <w:uiPriority w:val="99"/>
  </w:style>
  <w:style w:type="character" w:customStyle="1" w:styleId="35">
    <w:name w:val="WW8Num1z2"/>
    <w:qFormat/>
    <w:uiPriority w:val="99"/>
  </w:style>
  <w:style w:type="character" w:customStyle="1" w:styleId="36">
    <w:name w:val="WW8Num1z3"/>
    <w:qFormat/>
    <w:uiPriority w:val="99"/>
  </w:style>
  <w:style w:type="character" w:customStyle="1" w:styleId="37">
    <w:name w:val="WW8Num1z4"/>
    <w:qFormat/>
    <w:uiPriority w:val="99"/>
  </w:style>
  <w:style w:type="character" w:customStyle="1" w:styleId="38">
    <w:name w:val="WW8Num1z5"/>
    <w:qFormat/>
    <w:uiPriority w:val="99"/>
  </w:style>
  <w:style w:type="character" w:customStyle="1" w:styleId="39">
    <w:name w:val="WW8Num1z6"/>
    <w:qFormat/>
    <w:uiPriority w:val="99"/>
  </w:style>
  <w:style w:type="character" w:customStyle="1" w:styleId="40">
    <w:name w:val="WW8Num1z7"/>
    <w:qFormat/>
    <w:uiPriority w:val="99"/>
  </w:style>
  <w:style w:type="character" w:customStyle="1" w:styleId="41">
    <w:name w:val="WW8Num1z8"/>
    <w:qFormat/>
    <w:uiPriority w:val="99"/>
  </w:style>
  <w:style w:type="character" w:customStyle="1" w:styleId="42">
    <w:name w:val="WW8Num2z0"/>
    <w:qFormat/>
    <w:uiPriority w:val="99"/>
    <w:rPr>
      <w:rFonts w:ascii="Symbol" w:hAnsi="Symbol"/>
      <w:spacing w:val="-6"/>
      <w:sz w:val="20"/>
    </w:rPr>
  </w:style>
  <w:style w:type="character" w:customStyle="1" w:styleId="43">
    <w:name w:val="WW8Num3z0"/>
    <w:qFormat/>
    <w:uiPriority w:val="99"/>
    <w:rPr>
      <w:rFonts w:ascii="Times New Roman" w:hAnsi="Times New Roman"/>
      <w:b/>
      <w:color w:val="000000"/>
      <w:spacing w:val="0"/>
      <w:w w:val="100"/>
      <w:sz w:val="26"/>
      <w:u w:val="none"/>
      <w:lang w:eastAsia="uk-UA"/>
    </w:rPr>
  </w:style>
  <w:style w:type="character" w:customStyle="1" w:styleId="44">
    <w:name w:val="WW8Num3z1"/>
    <w:qFormat/>
    <w:uiPriority w:val="99"/>
    <w:rPr>
      <w:rFonts w:ascii="Times New Roman" w:hAnsi="Times New Roman"/>
      <w:b/>
      <w:color w:val="000000"/>
      <w:spacing w:val="0"/>
      <w:w w:val="100"/>
      <w:sz w:val="20"/>
      <w:u w:val="none"/>
    </w:rPr>
  </w:style>
  <w:style w:type="character" w:customStyle="1" w:styleId="45">
    <w:name w:val="WW8Num3z2"/>
    <w:qFormat/>
    <w:uiPriority w:val="99"/>
    <w:rPr>
      <w:rFonts w:ascii="Times New Roman" w:hAnsi="Times New Roman"/>
      <w:color w:val="000000"/>
      <w:spacing w:val="0"/>
      <w:w w:val="100"/>
      <w:sz w:val="20"/>
      <w:u w:val="none"/>
      <w:lang w:eastAsia="uk-UA"/>
    </w:rPr>
  </w:style>
  <w:style w:type="character" w:customStyle="1" w:styleId="46">
    <w:name w:val="WW8Num3z3"/>
    <w:qFormat/>
    <w:uiPriority w:val="99"/>
    <w:rPr>
      <w:color w:val="000000"/>
      <w:spacing w:val="0"/>
      <w:w w:val="100"/>
      <w:sz w:val="26"/>
      <w:u w:val="none"/>
    </w:rPr>
  </w:style>
  <w:style w:type="character" w:customStyle="1" w:styleId="47">
    <w:name w:val="WW8Num4z0"/>
    <w:qFormat/>
    <w:uiPriority w:val="99"/>
    <w:rPr>
      <w:color w:val="000000"/>
    </w:rPr>
  </w:style>
  <w:style w:type="character" w:customStyle="1" w:styleId="48">
    <w:name w:val="WW8Num4z1"/>
    <w:qFormat/>
    <w:uiPriority w:val="99"/>
    <w:rPr>
      <w:rFonts w:ascii="Times New Roman" w:hAnsi="Times New Roman"/>
      <w:color w:val="000000"/>
      <w:sz w:val="20"/>
    </w:rPr>
  </w:style>
  <w:style w:type="character" w:customStyle="1" w:styleId="49">
    <w:name w:val="WW8Num5z0"/>
    <w:qFormat/>
    <w:uiPriority w:val="99"/>
  </w:style>
  <w:style w:type="character" w:customStyle="1" w:styleId="50">
    <w:name w:val="WW8Num5z1"/>
    <w:qFormat/>
    <w:uiPriority w:val="99"/>
  </w:style>
  <w:style w:type="character" w:customStyle="1" w:styleId="51">
    <w:name w:val="WW8Num5z2"/>
    <w:qFormat/>
    <w:uiPriority w:val="99"/>
  </w:style>
  <w:style w:type="character" w:customStyle="1" w:styleId="52">
    <w:name w:val="WW8Num5z3"/>
    <w:qFormat/>
    <w:uiPriority w:val="99"/>
  </w:style>
  <w:style w:type="character" w:customStyle="1" w:styleId="53">
    <w:name w:val="WW8Num5z4"/>
    <w:qFormat/>
    <w:uiPriority w:val="99"/>
  </w:style>
  <w:style w:type="character" w:customStyle="1" w:styleId="54">
    <w:name w:val="WW8Num5z5"/>
    <w:qFormat/>
    <w:uiPriority w:val="99"/>
  </w:style>
  <w:style w:type="character" w:customStyle="1" w:styleId="55">
    <w:name w:val="WW8Num5z6"/>
    <w:qFormat/>
    <w:uiPriority w:val="99"/>
  </w:style>
  <w:style w:type="character" w:customStyle="1" w:styleId="56">
    <w:name w:val="WW8Num5z7"/>
    <w:qFormat/>
    <w:uiPriority w:val="99"/>
  </w:style>
  <w:style w:type="character" w:customStyle="1" w:styleId="57">
    <w:name w:val="WW8Num5z8"/>
    <w:qFormat/>
    <w:uiPriority w:val="99"/>
  </w:style>
  <w:style w:type="character" w:customStyle="1" w:styleId="58">
    <w:name w:val="WW8Num6z0"/>
    <w:qFormat/>
    <w:uiPriority w:val="99"/>
  </w:style>
  <w:style w:type="character" w:customStyle="1" w:styleId="59">
    <w:name w:val="WW8Num6z1"/>
    <w:qFormat/>
    <w:uiPriority w:val="99"/>
  </w:style>
  <w:style w:type="character" w:customStyle="1" w:styleId="60">
    <w:name w:val="WW8Num6z2"/>
    <w:qFormat/>
    <w:uiPriority w:val="99"/>
  </w:style>
  <w:style w:type="character" w:customStyle="1" w:styleId="61">
    <w:name w:val="WW8Num6z3"/>
    <w:qFormat/>
    <w:uiPriority w:val="99"/>
  </w:style>
  <w:style w:type="character" w:customStyle="1" w:styleId="62">
    <w:name w:val="WW8Num6z4"/>
    <w:qFormat/>
    <w:uiPriority w:val="99"/>
  </w:style>
  <w:style w:type="character" w:customStyle="1" w:styleId="63">
    <w:name w:val="WW8Num6z5"/>
    <w:qFormat/>
    <w:uiPriority w:val="99"/>
  </w:style>
  <w:style w:type="character" w:customStyle="1" w:styleId="64">
    <w:name w:val="WW8Num6z6"/>
    <w:qFormat/>
    <w:uiPriority w:val="99"/>
  </w:style>
  <w:style w:type="character" w:customStyle="1" w:styleId="65">
    <w:name w:val="WW8Num6z7"/>
    <w:qFormat/>
    <w:uiPriority w:val="99"/>
  </w:style>
  <w:style w:type="character" w:customStyle="1" w:styleId="66">
    <w:name w:val="WW8Num6z8"/>
    <w:qFormat/>
    <w:uiPriority w:val="99"/>
  </w:style>
  <w:style w:type="character" w:customStyle="1" w:styleId="67">
    <w:name w:val="WW8Num7z0"/>
    <w:qFormat/>
    <w:uiPriority w:val="99"/>
  </w:style>
  <w:style w:type="character" w:customStyle="1" w:styleId="68">
    <w:name w:val="WW8Num7z1"/>
    <w:qFormat/>
    <w:uiPriority w:val="99"/>
  </w:style>
  <w:style w:type="character" w:customStyle="1" w:styleId="69">
    <w:name w:val="WW8Num7z2"/>
    <w:qFormat/>
    <w:uiPriority w:val="99"/>
  </w:style>
  <w:style w:type="character" w:customStyle="1" w:styleId="70">
    <w:name w:val="WW8Num7z3"/>
    <w:qFormat/>
    <w:uiPriority w:val="99"/>
  </w:style>
  <w:style w:type="character" w:customStyle="1" w:styleId="71">
    <w:name w:val="WW8Num7z4"/>
    <w:qFormat/>
    <w:uiPriority w:val="99"/>
  </w:style>
  <w:style w:type="character" w:customStyle="1" w:styleId="72">
    <w:name w:val="WW8Num7z5"/>
    <w:qFormat/>
    <w:uiPriority w:val="99"/>
  </w:style>
  <w:style w:type="character" w:customStyle="1" w:styleId="73">
    <w:name w:val="WW8Num7z6"/>
    <w:qFormat/>
    <w:uiPriority w:val="99"/>
  </w:style>
  <w:style w:type="character" w:customStyle="1" w:styleId="74">
    <w:name w:val="WW8Num7z7"/>
    <w:qFormat/>
    <w:uiPriority w:val="99"/>
  </w:style>
  <w:style w:type="character" w:customStyle="1" w:styleId="75">
    <w:name w:val="WW8Num7z8"/>
    <w:qFormat/>
    <w:uiPriority w:val="99"/>
  </w:style>
  <w:style w:type="character" w:customStyle="1" w:styleId="76">
    <w:name w:val="WW8Num8z0"/>
    <w:qFormat/>
    <w:uiPriority w:val="99"/>
  </w:style>
  <w:style w:type="character" w:customStyle="1" w:styleId="77">
    <w:name w:val="WW8Num8z1"/>
    <w:qFormat/>
    <w:uiPriority w:val="99"/>
  </w:style>
  <w:style w:type="character" w:customStyle="1" w:styleId="78">
    <w:name w:val="WW8Num8z2"/>
    <w:qFormat/>
    <w:uiPriority w:val="99"/>
  </w:style>
  <w:style w:type="character" w:customStyle="1" w:styleId="79">
    <w:name w:val="WW8Num8z3"/>
    <w:qFormat/>
    <w:uiPriority w:val="99"/>
  </w:style>
  <w:style w:type="character" w:customStyle="1" w:styleId="80">
    <w:name w:val="WW8Num8z4"/>
    <w:qFormat/>
    <w:uiPriority w:val="99"/>
  </w:style>
  <w:style w:type="character" w:customStyle="1" w:styleId="81">
    <w:name w:val="WW8Num8z5"/>
    <w:qFormat/>
    <w:uiPriority w:val="99"/>
  </w:style>
  <w:style w:type="character" w:customStyle="1" w:styleId="82">
    <w:name w:val="WW8Num8z6"/>
    <w:qFormat/>
    <w:uiPriority w:val="99"/>
  </w:style>
  <w:style w:type="character" w:customStyle="1" w:styleId="83">
    <w:name w:val="WW8Num8z7"/>
    <w:qFormat/>
    <w:uiPriority w:val="99"/>
  </w:style>
  <w:style w:type="character" w:customStyle="1" w:styleId="84">
    <w:name w:val="WW8Num8z8"/>
    <w:qFormat/>
    <w:uiPriority w:val="99"/>
  </w:style>
  <w:style w:type="character" w:customStyle="1" w:styleId="85">
    <w:name w:val="WW8Num9z0"/>
    <w:qFormat/>
    <w:uiPriority w:val="99"/>
    <w:rPr>
      <w:sz w:val="22"/>
    </w:rPr>
  </w:style>
  <w:style w:type="character" w:customStyle="1" w:styleId="86">
    <w:name w:val="WW8Num9z1"/>
    <w:qFormat/>
    <w:uiPriority w:val="99"/>
  </w:style>
  <w:style w:type="character" w:customStyle="1" w:styleId="87">
    <w:name w:val="WW8Num9z2"/>
    <w:qFormat/>
    <w:uiPriority w:val="99"/>
  </w:style>
  <w:style w:type="character" w:customStyle="1" w:styleId="88">
    <w:name w:val="WW8Num9z3"/>
    <w:qFormat/>
    <w:uiPriority w:val="99"/>
  </w:style>
  <w:style w:type="character" w:customStyle="1" w:styleId="89">
    <w:name w:val="WW8Num9z4"/>
    <w:qFormat/>
    <w:uiPriority w:val="99"/>
  </w:style>
  <w:style w:type="character" w:customStyle="1" w:styleId="90">
    <w:name w:val="WW8Num9z5"/>
    <w:qFormat/>
    <w:uiPriority w:val="99"/>
  </w:style>
  <w:style w:type="character" w:customStyle="1" w:styleId="91">
    <w:name w:val="WW8Num9z6"/>
    <w:qFormat/>
    <w:uiPriority w:val="99"/>
  </w:style>
  <w:style w:type="character" w:customStyle="1" w:styleId="92">
    <w:name w:val="WW8Num9z7"/>
    <w:qFormat/>
    <w:uiPriority w:val="99"/>
  </w:style>
  <w:style w:type="character" w:customStyle="1" w:styleId="93">
    <w:name w:val="WW8Num9z8"/>
    <w:qFormat/>
    <w:uiPriority w:val="99"/>
  </w:style>
  <w:style w:type="character" w:customStyle="1" w:styleId="94">
    <w:name w:val="WW8Num10z0"/>
    <w:qFormat/>
    <w:uiPriority w:val="99"/>
  </w:style>
  <w:style w:type="character" w:customStyle="1" w:styleId="95">
    <w:name w:val="WW8Num10z1"/>
    <w:qFormat/>
    <w:uiPriority w:val="99"/>
  </w:style>
  <w:style w:type="character" w:customStyle="1" w:styleId="96">
    <w:name w:val="WW8Num10z2"/>
    <w:qFormat/>
    <w:uiPriority w:val="99"/>
  </w:style>
  <w:style w:type="character" w:customStyle="1" w:styleId="97">
    <w:name w:val="WW8Num10z3"/>
    <w:qFormat/>
    <w:uiPriority w:val="99"/>
  </w:style>
  <w:style w:type="character" w:customStyle="1" w:styleId="98">
    <w:name w:val="WW8Num10z4"/>
    <w:qFormat/>
    <w:uiPriority w:val="99"/>
  </w:style>
  <w:style w:type="character" w:customStyle="1" w:styleId="99">
    <w:name w:val="WW8Num10z5"/>
    <w:qFormat/>
    <w:uiPriority w:val="99"/>
  </w:style>
  <w:style w:type="character" w:customStyle="1" w:styleId="100">
    <w:name w:val="WW8Num10z6"/>
    <w:qFormat/>
    <w:uiPriority w:val="99"/>
  </w:style>
  <w:style w:type="character" w:customStyle="1" w:styleId="101">
    <w:name w:val="WW8Num10z7"/>
    <w:qFormat/>
    <w:uiPriority w:val="99"/>
  </w:style>
  <w:style w:type="character" w:customStyle="1" w:styleId="102">
    <w:name w:val="WW8Num10z8"/>
    <w:qFormat/>
    <w:uiPriority w:val="99"/>
  </w:style>
  <w:style w:type="character" w:customStyle="1" w:styleId="103">
    <w:name w:val="WW8Num11z0"/>
    <w:qFormat/>
    <w:uiPriority w:val="99"/>
  </w:style>
  <w:style w:type="character" w:customStyle="1" w:styleId="104">
    <w:name w:val="WW8Num11z1"/>
    <w:qFormat/>
    <w:uiPriority w:val="99"/>
  </w:style>
  <w:style w:type="character" w:customStyle="1" w:styleId="105">
    <w:name w:val="WW8Num11z2"/>
    <w:qFormat/>
    <w:uiPriority w:val="99"/>
  </w:style>
  <w:style w:type="character" w:customStyle="1" w:styleId="106">
    <w:name w:val="WW8Num11z3"/>
    <w:qFormat/>
    <w:uiPriority w:val="99"/>
  </w:style>
  <w:style w:type="character" w:customStyle="1" w:styleId="107">
    <w:name w:val="WW8Num11z4"/>
    <w:qFormat/>
    <w:uiPriority w:val="99"/>
  </w:style>
  <w:style w:type="character" w:customStyle="1" w:styleId="108">
    <w:name w:val="WW8Num11z5"/>
    <w:qFormat/>
    <w:uiPriority w:val="99"/>
  </w:style>
  <w:style w:type="character" w:customStyle="1" w:styleId="109">
    <w:name w:val="WW8Num11z6"/>
    <w:qFormat/>
    <w:uiPriority w:val="99"/>
  </w:style>
  <w:style w:type="character" w:customStyle="1" w:styleId="110">
    <w:name w:val="WW8Num11z7"/>
    <w:qFormat/>
    <w:uiPriority w:val="99"/>
  </w:style>
  <w:style w:type="character" w:customStyle="1" w:styleId="111">
    <w:name w:val="WW8Num11z8"/>
    <w:qFormat/>
    <w:uiPriority w:val="99"/>
  </w:style>
  <w:style w:type="character" w:customStyle="1" w:styleId="112">
    <w:name w:val="WW8Num12z0"/>
    <w:qFormat/>
    <w:uiPriority w:val="99"/>
    <w:rPr>
      <w:rFonts w:ascii="Symbol" w:hAnsi="Symbol"/>
      <w:color w:val="000000"/>
      <w:sz w:val="18"/>
    </w:rPr>
  </w:style>
  <w:style w:type="character" w:customStyle="1" w:styleId="113">
    <w:name w:val="WW8Num12z1"/>
    <w:qFormat/>
    <w:uiPriority w:val="99"/>
    <w:rPr>
      <w:rFonts w:ascii="Courier New" w:hAnsi="Courier New"/>
      <w:sz w:val="20"/>
    </w:rPr>
  </w:style>
  <w:style w:type="character" w:customStyle="1" w:styleId="114">
    <w:name w:val="WW8Num12z2"/>
    <w:qFormat/>
    <w:uiPriority w:val="99"/>
    <w:rPr>
      <w:rFonts w:ascii="Wingdings" w:hAnsi="Wingdings"/>
      <w:sz w:val="20"/>
    </w:rPr>
  </w:style>
  <w:style w:type="character" w:customStyle="1" w:styleId="115">
    <w:name w:val="Основной шрифт абзаца11"/>
    <w:qFormat/>
    <w:uiPriority w:val="99"/>
  </w:style>
  <w:style w:type="character" w:customStyle="1" w:styleId="116">
    <w:name w:val="Основной шрифт абзаца3"/>
    <w:qFormat/>
    <w:uiPriority w:val="99"/>
  </w:style>
  <w:style w:type="character" w:customStyle="1" w:styleId="117">
    <w:name w:val="WW8Num2z1"/>
    <w:qFormat/>
    <w:uiPriority w:val="99"/>
    <w:rPr>
      <w:color w:val="000000"/>
      <w:sz w:val="24"/>
    </w:rPr>
  </w:style>
  <w:style w:type="character" w:customStyle="1" w:styleId="118">
    <w:name w:val="WW8Num2z2"/>
    <w:qFormat/>
    <w:uiPriority w:val="99"/>
  </w:style>
  <w:style w:type="character" w:customStyle="1" w:styleId="119">
    <w:name w:val="WW8Num2z3"/>
    <w:qFormat/>
    <w:uiPriority w:val="99"/>
  </w:style>
  <w:style w:type="character" w:customStyle="1" w:styleId="120">
    <w:name w:val="WW8Num2z4"/>
    <w:qFormat/>
    <w:uiPriority w:val="99"/>
  </w:style>
  <w:style w:type="character" w:customStyle="1" w:styleId="121">
    <w:name w:val="WW8Num2z5"/>
    <w:qFormat/>
    <w:uiPriority w:val="99"/>
  </w:style>
  <w:style w:type="character" w:customStyle="1" w:styleId="122">
    <w:name w:val="WW8Num2z6"/>
    <w:qFormat/>
    <w:uiPriority w:val="99"/>
  </w:style>
  <w:style w:type="character" w:customStyle="1" w:styleId="123">
    <w:name w:val="WW8Num2z7"/>
    <w:qFormat/>
    <w:uiPriority w:val="99"/>
  </w:style>
  <w:style w:type="character" w:customStyle="1" w:styleId="124">
    <w:name w:val="WW8Num2z8"/>
    <w:qFormat/>
    <w:uiPriority w:val="99"/>
  </w:style>
  <w:style w:type="character" w:customStyle="1" w:styleId="125">
    <w:name w:val="WW8Num4z2"/>
    <w:qFormat/>
    <w:uiPriority w:val="99"/>
    <w:rPr>
      <w:rFonts w:ascii="Times New Roman" w:hAnsi="Times New Roman"/>
      <w:color w:val="000000"/>
      <w:spacing w:val="0"/>
      <w:w w:val="100"/>
      <w:sz w:val="20"/>
      <w:u w:val="none"/>
    </w:rPr>
  </w:style>
  <w:style w:type="character" w:customStyle="1" w:styleId="126">
    <w:name w:val="WW8Num4z3"/>
    <w:qFormat/>
    <w:uiPriority w:val="99"/>
    <w:rPr>
      <w:color w:val="000000"/>
      <w:spacing w:val="0"/>
      <w:w w:val="100"/>
      <w:sz w:val="26"/>
      <w:u w:val="none"/>
    </w:rPr>
  </w:style>
  <w:style w:type="character" w:customStyle="1" w:styleId="127">
    <w:name w:val="WW8Num3z4"/>
    <w:qFormat/>
    <w:uiPriority w:val="99"/>
  </w:style>
  <w:style w:type="character" w:customStyle="1" w:styleId="128">
    <w:name w:val="WW8Num3z5"/>
    <w:qFormat/>
    <w:uiPriority w:val="99"/>
  </w:style>
  <w:style w:type="character" w:customStyle="1" w:styleId="129">
    <w:name w:val="WW8Num3z6"/>
    <w:qFormat/>
    <w:uiPriority w:val="99"/>
  </w:style>
  <w:style w:type="character" w:customStyle="1" w:styleId="130">
    <w:name w:val="WW8Num3z7"/>
    <w:qFormat/>
    <w:uiPriority w:val="99"/>
  </w:style>
  <w:style w:type="character" w:customStyle="1" w:styleId="131">
    <w:name w:val="WW8Num3z8"/>
    <w:qFormat/>
    <w:uiPriority w:val="99"/>
  </w:style>
  <w:style w:type="character" w:customStyle="1" w:styleId="132">
    <w:name w:val="Основной шрифт абзаца2"/>
    <w:qFormat/>
    <w:uiPriority w:val="99"/>
  </w:style>
  <w:style w:type="character" w:customStyle="1" w:styleId="133">
    <w:name w:val="Основной шрифт абзаца1"/>
    <w:qFormat/>
    <w:uiPriority w:val="99"/>
  </w:style>
  <w:style w:type="character" w:customStyle="1" w:styleId="134">
    <w:name w:val="Заголовок 1 Знак1"/>
    <w:qFormat/>
    <w:uiPriority w:val="99"/>
    <w:rPr>
      <w:b/>
      <w:sz w:val="18"/>
    </w:rPr>
  </w:style>
  <w:style w:type="character" w:customStyle="1" w:styleId="135">
    <w:name w:val="Обычный (веб) Знак"/>
    <w:qFormat/>
    <w:uiPriority w:val="99"/>
    <w:rPr>
      <w:sz w:val="24"/>
    </w:rPr>
  </w:style>
  <w:style w:type="character" w:customStyle="1" w:styleId="136">
    <w:name w:val="Нижний колонтитул Знак"/>
    <w:qFormat/>
    <w:uiPriority w:val="99"/>
    <w:rPr>
      <w:sz w:val="24"/>
    </w:rPr>
  </w:style>
  <w:style w:type="character" w:customStyle="1" w:styleId="137">
    <w:name w:val="Номер страницы1"/>
    <w:basedOn w:val="133"/>
    <w:qFormat/>
    <w:uiPriority w:val="99"/>
    <w:rPr>
      <w:rFonts w:cs="Times New Roman"/>
    </w:rPr>
  </w:style>
  <w:style w:type="character" w:customStyle="1" w:styleId="138">
    <w:name w:val="Основной текст с отступом Знак"/>
    <w:qFormat/>
    <w:uiPriority w:val="99"/>
    <w:rPr>
      <w:sz w:val="24"/>
    </w:rPr>
  </w:style>
  <w:style w:type="character" w:customStyle="1" w:styleId="139">
    <w:name w:val="Верхний колонтитул Знак"/>
    <w:qFormat/>
    <w:uiPriority w:val="99"/>
    <w:rPr>
      <w:sz w:val="24"/>
    </w:rPr>
  </w:style>
  <w:style w:type="character" w:customStyle="1" w:styleId="140">
    <w:name w:val="Выделение жирным"/>
    <w:qFormat/>
    <w:uiPriority w:val="99"/>
    <w:rPr>
      <w:b/>
    </w:rPr>
  </w:style>
  <w:style w:type="character" w:customStyle="1" w:styleId="141">
    <w:name w:val="rvts23"/>
    <w:basedOn w:val="133"/>
    <w:qFormat/>
    <w:uiPriority w:val="99"/>
    <w:rPr>
      <w:rFonts w:cs="Times New Roman"/>
    </w:rPr>
  </w:style>
  <w:style w:type="character" w:customStyle="1" w:styleId="142">
    <w:name w:val="Текст выноски Знак"/>
    <w:qFormat/>
    <w:uiPriority w:val="99"/>
    <w:rPr>
      <w:rFonts w:ascii="Tahoma" w:hAnsi="Tahoma"/>
      <w:sz w:val="16"/>
    </w:rPr>
  </w:style>
  <w:style w:type="character" w:customStyle="1" w:styleId="143">
    <w:name w:val="Заголовок №4_"/>
    <w:qFormat/>
    <w:uiPriority w:val="99"/>
    <w:rPr>
      <w:rFonts w:ascii="Times New Roman" w:hAnsi="Times New Roman"/>
      <w:b/>
      <w:sz w:val="26"/>
      <w:u w:val="none"/>
    </w:rPr>
  </w:style>
  <w:style w:type="character" w:customStyle="1" w:styleId="144">
    <w:name w:val="Основной текст Знак1"/>
    <w:link w:val="12"/>
    <w:qFormat/>
    <w:uiPriority w:val="99"/>
    <w:rPr>
      <w:rFonts w:ascii="Times New Roman" w:hAnsi="Times New Roman"/>
      <w:sz w:val="26"/>
      <w:u w:val="none"/>
    </w:rPr>
  </w:style>
  <w:style w:type="character" w:customStyle="1" w:styleId="145">
    <w:name w:val="Основний текст (3)_"/>
    <w:qFormat/>
    <w:uiPriority w:val="99"/>
    <w:rPr>
      <w:rFonts w:ascii="Times New Roman" w:hAnsi="Times New Roman"/>
      <w:b/>
      <w:i/>
      <w:sz w:val="26"/>
      <w:u w:val="none"/>
    </w:rPr>
  </w:style>
  <w:style w:type="character" w:customStyle="1" w:styleId="146">
    <w:name w:val="Основний текст (4)_"/>
    <w:qFormat/>
    <w:uiPriority w:val="99"/>
    <w:rPr>
      <w:rFonts w:ascii="Times New Roman" w:hAnsi="Times New Roman"/>
      <w:b/>
      <w:sz w:val="26"/>
      <w:u w:val="none"/>
    </w:rPr>
  </w:style>
  <w:style w:type="character" w:customStyle="1" w:styleId="147">
    <w:name w:val="Символ нумерации"/>
    <w:qFormat/>
    <w:uiPriority w:val="99"/>
  </w:style>
  <w:style w:type="character" w:customStyle="1" w:styleId="148">
    <w:name w:val="rvts0"/>
    <w:basedOn w:val="5"/>
    <w:qFormat/>
    <w:uiPriority w:val="99"/>
    <w:rPr>
      <w:rFonts w:cs="Times New Roman"/>
    </w:rPr>
  </w:style>
  <w:style w:type="character" w:customStyle="1" w:styleId="149">
    <w:name w:val="Гіперпосилання"/>
    <w:qFormat/>
    <w:uiPriority w:val="99"/>
    <w:rPr>
      <w:color w:val="0000FF"/>
      <w:u w:val="single"/>
    </w:rPr>
  </w:style>
  <w:style w:type="character" w:customStyle="1" w:styleId="150">
    <w:name w:val="Посещённая гиперссылка"/>
    <w:basedOn w:val="115"/>
    <w:qFormat/>
    <w:uiPriority w:val="99"/>
    <w:rPr>
      <w:rFonts w:cs="Times New Roman"/>
      <w:color w:val="800080"/>
      <w:u w:val="single"/>
    </w:rPr>
  </w:style>
  <w:style w:type="character" w:customStyle="1" w:styleId="151">
    <w:name w:val="qowt-font2-timesnewroman"/>
    <w:qFormat/>
    <w:uiPriority w:val="99"/>
  </w:style>
  <w:style w:type="character" w:customStyle="1" w:styleId="152">
    <w:name w:val="Символ концевой сноски"/>
    <w:qFormat/>
    <w:uiPriority w:val="99"/>
  </w:style>
  <w:style w:type="character" w:customStyle="1" w:styleId="153">
    <w:name w:val="Привязка концевой сноски"/>
    <w:qFormat/>
    <w:uiPriority w:val="99"/>
    <w:rPr>
      <w:vertAlign w:val="superscript"/>
    </w:rPr>
  </w:style>
  <w:style w:type="paragraph" w:customStyle="1" w:styleId="154">
    <w:name w:val="Заголовок"/>
    <w:basedOn w:val="1"/>
    <w:next w:val="12"/>
    <w:qFormat/>
    <w:uiPriority w:val="0"/>
    <w:pPr>
      <w:keepNext/>
      <w:spacing w:before="240" w:after="120"/>
    </w:pPr>
    <w:rPr>
      <w:rFonts w:eastAsia="Noto Sans CJK SC" w:cs="Lohit Devanagari"/>
      <w:sz w:val="28"/>
      <w:szCs w:val="28"/>
    </w:rPr>
  </w:style>
  <w:style w:type="paragraph" w:customStyle="1" w:styleId="155">
    <w:name w:val="Покажчик"/>
    <w:basedOn w:val="1"/>
    <w:qFormat/>
    <w:uiPriority w:val="0"/>
    <w:pPr>
      <w:suppressLineNumbers/>
    </w:pPr>
    <w:rPr>
      <w:rFonts w:cs="Lohit Devanagari"/>
    </w:rPr>
  </w:style>
  <w:style w:type="paragraph" w:customStyle="1" w:styleId="156">
    <w:name w:val="Указатель1"/>
    <w:basedOn w:val="1"/>
    <w:qFormat/>
    <w:uiPriority w:val="0"/>
    <w:pPr>
      <w:suppressLineNumbers/>
    </w:pPr>
    <w:rPr>
      <w:rFonts w:cs="Lohit Devanagari"/>
    </w:rPr>
  </w:style>
  <w:style w:type="paragraph" w:customStyle="1" w:styleId="157">
    <w:name w:val="Заголовок1"/>
    <w:basedOn w:val="1"/>
    <w:qFormat/>
    <w:uiPriority w:val="99"/>
    <w:pPr>
      <w:keepNext/>
      <w:spacing w:before="240" w:after="120"/>
    </w:pPr>
    <w:rPr>
      <w:rFonts w:ascii="Liberation Sans;Arial" w:hAnsi="Liberation Sans;Arial" w:eastAsia="Noto Sans CJK SC Regular" w:cs="Lohit Devanagari;Times New Roma"/>
      <w:sz w:val="28"/>
      <w:szCs w:val="28"/>
    </w:rPr>
  </w:style>
  <w:style w:type="paragraph" w:customStyle="1" w:styleId="158">
    <w:name w:val="Верхній і нижній колонтитули"/>
    <w:basedOn w:val="1"/>
    <w:qFormat/>
    <w:uiPriority w:val="0"/>
  </w:style>
  <w:style w:type="paragraph" w:customStyle="1" w:styleId="159">
    <w:name w:val="Указатель13"/>
    <w:basedOn w:val="1"/>
    <w:qFormat/>
    <w:uiPriority w:val="99"/>
    <w:pPr>
      <w:suppressLineNumbers/>
    </w:pPr>
    <w:rPr>
      <w:rFonts w:cs="Lohit Devanagari"/>
    </w:rPr>
  </w:style>
  <w:style w:type="paragraph" w:customStyle="1" w:styleId="160">
    <w:name w:val="Указатель12"/>
    <w:basedOn w:val="1"/>
    <w:qFormat/>
    <w:uiPriority w:val="99"/>
    <w:pPr>
      <w:suppressLineNumbers/>
    </w:pPr>
    <w:rPr>
      <w:rFonts w:cs="Lohit Devanagari"/>
    </w:rPr>
  </w:style>
  <w:style w:type="paragraph" w:customStyle="1" w:styleId="161">
    <w:name w:val="Указатель11"/>
    <w:basedOn w:val="1"/>
    <w:qFormat/>
    <w:uiPriority w:val="99"/>
    <w:pPr>
      <w:suppressLineNumbers/>
    </w:pPr>
    <w:rPr>
      <w:rFonts w:cs="Lohit Devanagari"/>
    </w:rPr>
  </w:style>
  <w:style w:type="paragraph" w:customStyle="1" w:styleId="162">
    <w:name w:val="Название объекта11"/>
    <w:basedOn w:val="1"/>
    <w:qFormat/>
    <w:uiPriority w:val="99"/>
    <w:pPr>
      <w:jc w:val="center"/>
    </w:pPr>
    <w:rPr>
      <w:sz w:val="28"/>
      <w:szCs w:val="20"/>
    </w:rPr>
  </w:style>
  <w:style w:type="paragraph" w:customStyle="1" w:styleId="163">
    <w:name w:val="Указатель3"/>
    <w:basedOn w:val="1"/>
    <w:qFormat/>
    <w:uiPriority w:val="99"/>
    <w:pPr>
      <w:suppressLineNumbers/>
    </w:pPr>
    <w:rPr>
      <w:rFonts w:cs="Lohit Devanagari;Times New Roma"/>
    </w:rPr>
  </w:style>
  <w:style w:type="paragraph" w:customStyle="1" w:styleId="164">
    <w:name w:val="Название объекта2"/>
    <w:basedOn w:val="1"/>
    <w:qFormat/>
    <w:uiPriority w:val="99"/>
    <w:pPr>
      <w:suppressLineNumbers/>
      <w:spacing w:before="120" w:after="120"/>
    </w:pPr>
    <w:rPr>
      <w:rFonts w:cs="Lohit Devanagari;Times New Roma"/>
      <w:i/>
      <w:iCs/>
    </w:rPr>
  </w:style>
  <w:style w:type="paragraph" w:customStyle="1" w:styleId="165">
    <w:name w:val="Указатель2"/>
    <w:basedOn w:val="1"/>
    <w:qFormat/>
    <w:uiPriority w:val="99"/>
    <w:pPr>
      <w:suppressLineNumbers/>
    </w:pPr>
    <w:rPr>
      <w:rFonts w:cs="Lohit Devanagari;Times New Roma"/>
    </w:rPr>
  </w:style>
  <w:style w:type="paragraph" w:customStyle="1" w:styleId="166">
    <w:name w:val="Название объекта1"/>
    <w:basedOn w:val="1"/>
    <w:qFormat/>
    <w:uiPriority w:val="99"/>
    <w:pPr>
      <w:suppressLineNumbers/>
      <w:spacing w:before="120" w:after="120"/>
    </w:pPr>
    <w:rPr>
      <w:rFonts w:cs="Lohit Devanagari;Times New Roma"/>
      <w:i/>
      <w:iCs/>
    </w:rPr>
  </w:style>
  <w:style w:type="paragraph" w:customStyle="1" w:styleId="167">
    <w:name w:val="Указатель14"/>
    <w:basedOn w:val="1"/>
    <w:qFormat/>
    <w:uiPriority w:val="99"/>
    <w:pPr>
      <w:suppressLineNumbers/>
    </w:pPr>
    <w:rPr>
      <w:rFonts w:cs="Lohit Devanagari;Times New Roma"/>
    </w:rPr>
  </w:style>
  <w:style w:type="paragraph" w:customStyle="1" w:styleId="168">
    <w:name w:val="Обычный (веб)1"/>
    <w:basedOn w:val="1"/>
    <w:qFormat/>
    <w:uiPriority w:val="99"/>
    <w:pPr>
      <w:spacing w:before="280" w:after="280"/>
    </w:pPr>
  </w:style>
  <w:style w:type="paragraph" w:customStyle="1" w:styleId="169">
    <w:name w:val="Абзац списка1"/>
    <w:basedOn w:val="1"/>
    <w:qFormat/>
    <w:uiPriority w:val="99"/>
    <w:pPr>
      <w:ind w:left="720"/>
      <w:contextualSpacing/>
    </w:pPr>
  </w:style>
  <w:style w:type="paragraph" w:customStyle="1" w:styleId="170">
    <w:name w:val="Текст выноски1"/>
    <w:basedOn w:val="1"/>
    <w:qFormat/>
    <w:uiPriority w:val="99"/>
    <w:rPr>
      <w:rFonts w:ascii="Tahoma" w:hAnsi="Tahoma" w:cs="Tahoma"/>
      <w:sz w:val="16"/>
      <w:szCs w:val="16"/>
    </w:rPr>
  </w:style>
  <w:style w:type="paragraph" w:customStyle="1" w:styleId="171">
    <w:name w:val="Содержимое таблицы"/>
    <w:basedOn w:val="1"/>
    <w:qFormat/>
    <w:uiPriority w:val="99"/>
    <w:pPr>
      <w:suppressLineNumbers/>
    </w:pPr>
  </w:style>
  <w:style w:type="paragraph" w:customStyle="1" w:styleId="172">
    <w:name w:val="Заголовок таблицы"/>
    <w:basedOn w:val="171"/>
    <w:qFormat/>
    <w:uiPriority w:val="99"/>
    <w:pPr>
      <w:jc w:val="center"/>
    </w:pPr>
    <w:rPr>
      <w:b/>
      <w:bCs/>
    </w:rPr>
  </w:style>
  <w:style w:type="paragraph" w:customStyle="1" w:styleId="173">
    <w:name w:val="Содержимое врезки"/>
    <w:basedOn w:val="1"/>
    <w:qFormat/>
    <w:uiPriority w:val="99"/>
  </w:style>
  <w:style w:type="paragraph" w:styleId="174">
    <w:name w:val="No Spacing"/>
    <w:qFormat/>
    <w:uiPriority w:val="99"/>
    <w:pPr>
      <w:suppressAutoHyphens/>
      <w:spacing w:after="160" w:line="259" w:lineRule="auto"/>
    </w:pPr>
    <w:rPr>
      <w:rFonts w:eastAsia="Arial Unicode MS" w:cs="Calibri" w:asciiTheme="minorHAnsi" w:hAnsiTheme="minorHAnsi"/>
      <w:sz w:val="22"/>
      <w:szCs w:val="22"/>
      <w:lang w:val="uk-UA" w:eastAsia="zh-CN" w:bidi="ar-SA"/>
    </w:rPr>
  </w:style>
  <w:style w:type="paragraph" w:customStyle="1" w:styleId="175">
    <w:name w:val="Основний текст (2)1"/>
    <w:basedOn w:val="1"/>
    <w:qFormat/>
    <w:uiPriority w:val="99"/>
    <w:pPr>
      <w:spacing w:before="240" w:after="660" w:line="240" w:lineRule="atLeast"/>
      <w:ind w:hanging="700"/>
      <w:jc w:val="both"/>
    </w:pPr>
    <w:rPr>
      <w:sz w:val="26"/>
      <w:szCs w:val="26"/>
    </w:rPr>
  </w:style>
  <w:style w:type="paragraph" w:customStyle="1" w:styleId="176">
    <w:name w:val="Заголовок №4"/>
    <w:basedOn w:val="1"/>
    <w:qFormat/>
    <w:uiPriority w:val="99"/>
    <w:pPr>
      <w:spacing w:after="240" w:line="310" w:lineRule="exact"/>
      <w:ind w:hanging="380"/>
      <w:jc w:val="right"/>
    </w:pPr>
    <w:rPr>
      <w:b/>
      <w:bCs/>
      <w:sz w:val="26"/>
      <w:szCs w:val="26"/>
    </w:rPr>
  </w:style>
  <w:style w:type="paragraph" w:customStyle="1" w:styleId="177">
    <w:name w:val="Основний текст (3)"/>
    <w:basedOn w:val="1"/>
    <w:qFormat/>
    <w:uiPriority w:val="99"/>
    <w:pPr>
      <w:spacing w:before="360" w:line="306" w:lineRule="exact"/>
      <w:jc w:val="both"/>
    </w:pPr>
    <w:rPr>
      <w:b/>
      <w:bCs/>
      <w:i/>
      <w:iCs/>
      <w:sz w:val="26"/>
      <w:szCs w:val="26"/>
    </w:rPr>
  </w:style>
  <w:style w:type="paragraph" w:customStyle="1" w:styleId="178">
    <w:name w:val="Список 22"/>
    <w:basedOn w:val="1"/>
    <w:qFormat/>
    <w:uiPriority w:val="99"/>
    <w:pPr>
      <w:ind w:left="566" w:hanging="283"/>
    </w:pPr>
    <w:rPr>
      <w:rFonts w:cs="Tahoma"/>
      <w:sz w:val="20"/>
      <w:szCs w:val="20"/>
    </w:rPr>
  </w:style>
  <w:style w:type="paragraph" w:customStyle="1" w:styleId="179">
    <w:name w:val="Основний текст (4)"/>
    <w:basedOn w:val="1"/>
    <w:qFormat/>
    <w:uiPriority w:val="99"/>
    <w:pPr>
      <w:spacing w:before="600" w:after="360" w:line="240" w:lineRule="atLeast"/>
      <w:jc w:val="both"/>
    </w:pPr>
    <w:rPr>
      <w:b/>
      <w:bCs/>
      <w:sz w:val="26"/>
      <w:szCs w:val="26"/>
    </w:rPr>
  </w:style>
  <w:style w:type="paragraph" w:customStyle="1" w:styleId="180">
    <w:name w:val="ДинТекстТабл"/>
    <w:basedOn w:val="1"/>
    <w:qFormat/>
    <w:uiPriority w:val="99"/>
    <w:rPr>
      <w:b/>
      <w:sz w:val="20"/>
      <w:szCs w:val="20"/>
    </w:rPr>
  </w:style>
  <w:style w:type="paragraph" w:customStyle="1" w:styleId="181">
    <w:name w:val="ДинЦентрТабл"/>
    <w:basedOn w:val="180"/>
    <w:qFormat/>
    <w:uiPriority w:val="99"/>
    <w:pPr>
      <w:jc w:val="center"/>
    </w:pPr>
    <w:rPr>
      <w:sz w:val="28"/>
      <w:szCs w:val="28"/>
    </w:rPr>
  </w:style>
  <w:style w:type="paragraph" w:customStyle="1" w:styleId="182">
    <w:name w:val="Основной текст1"/>
    <w:basedOn w:val="1"/>
    <w:qFormat/>
    <w:uiPriority w:val="99"/>
    <w:pPr>
      <w:spacing w:line="240" w:lineRule="atLeast"/>
    </w:pPr>
    <w:rPr>
      <w:sz w:val="23"/>
      <w:szCs w:val="23"/>
    </w:rPr>
  </w:style>
  <w:style w:type="paragraph" w:customStyle="1" w:styleId="183">
    <w:name w:val="Без интервала1"/>
    <w:qFormat/>
    <w:uiPriority w:val="99"/>
    <w:pPr>
      <w:suppressAutoHyphens/>
      <w:spacing w:after="160" w:line="259" w:lineRule="auto"/>
    </w:pPr>
    <w:rPr>
      <w:rFonts w:eastAsia="Arial Unicode MS" w:cs="Calibri" w:asciiTheme="minorHAnsi" w:hAnsiTheme="minorHAnsi"/>
      <w:sz w:val="22"/>
      <w:szCs w:val="22"/>
      <w:lang w:val="uk-UA" w:eastAsia="zh-CN" w:bidi="ar-SA"/>
    </w:rPr>
  </w:style>
  <w:style w:type="paragraph" w:customStyle="1" w:styleId="184">
    <w:name w:val="Обычны"/>
    <w:qFormat/>
    <w:uiPriority w:val="99"/>
    <w:pPr>
      <w:widowControl w:val="0"/>
      <w:suppressAutoHyphens/>
      <w:spacing w:after="160" w:line="259" w:lineRule="auto"/>
    </w:pPr>
    <w:rPr>
      <w:rFonts w:ascii="Times New Roman" w:hAnsi="Times New Roman" w:eastAsia="SimSun" w:cs="Lohit Devanagari;Times New Roma"/>
      <w:sz w:val="24"/>
      <w:szCs w:val="24"/>
      <w:lang w:val="uk-UA" w:eastAsia="zh-CN" w:bidi="hi-IN"/>
    </w:rPr>
  </w:style>
  <w:style w:type="paragraph" w:customStyle="1" w:styleId="185">
    <w:name w:val="LO-normal"/>
    <w:qFormat/>
    <w:uiPriority w:val="99"/>
    <w:pPr>
      <w:suppressAutoHyphens/>
      <w:spacing w:after="160" w:line="276" w:lineRule="auto"/>
    </w:pPr>
    <w:rPr>
      <w:rFonts w:ascii="Arial" w:hAnsi="Arial" w:eastAsia="SimSun" w:cs="Arial"/>
      <w:color w:val="000000"/>
      <w:sz w:val="22"/>
      <w:szCs w:val="22"/>
      <w:lang w:val="uk-UA" w:eastAsia="zh-CN" w:bidi="ar-SA"/>
    </w:rPr>
  </w:style>
  <w:style w:type="paragraph" w:customStyle="1" w:styleId="186">
    <w:name w:val="Обычный1"/>
    <w:qFormat/>
    <w:uiPriority w:val="99"/>
    <w:pPr>
      <w:suppressAutoHyphens/>
      <w:spacing w:after="160" w:line="276" w:lineRule="auto"/>
    </w:pPr>
    <w:rPr>
      <w:rFonts w:ascii="Arial" w:hAnsi="Arial" w:eastAsia="SimSun" w:cs="Arial"/>
      <w:color w:val="000000"/>
      <w:sz w:val="22"/>
      <w:szCs w:val="22"/>
      <w:lang w:val="uk-UA" w:eastAsia="zh-CN" w:bidi="ar-SA"/>
    </w:rPr>
  </w:style>
  <w:style w:type="paragraph" w:customStyle="1" w:styleId="187">
    <w:name w:val="Верхний колонтитул слева"/>
    <w:basedOn w:val="1"/>
    <w:qFormat/>
    <w:uiPriority w:val="99"/>
    <w:pPr>
      <w:suppressLineNumbers/>
      <w:tabs>
        <w:tab w:val="center" w:pos="5270"/>
        <w:tab w:val="right" w:pos="10540"/>
      </w:tabs>
    </w:pPr>
  </w:style>
  <w:style w:type="paragraph" w:customStyle="1" w:styleId="188">
    <w:name w:val="western"/>
    <w:qFormat/>
    <w:uiPriority w:val="99"/>
    <w:pPr>
      <w:suppressAutoHyphens/>
      <w:spacing w:after="160" w:line="259" w:lineRule="auto"/>
    </w:pPr>
    <w:rPr>
      <w:rFonts w:ascii="Times New Roman" w:hAnsi="Times New Roman" w:eastAsia="SimSun" w:cs="Times New Roman"/>
      <w:sz w:val="24"/>
      <w:szCs w:val="24"/>
      <w:lang w:val="uk-UA" w:eastAsia="zh-CN" w:bidi="ar-SA"/>
    </w:rPr>
  </w:style>
  <w:style w:type="paragraph" w:customStyle="1" w:styleId="189">
    <w:name w:val="a"/>
    <w:basedOn w:val="1"/>
    <w:qFormat/>
    <w:uiPriority w:val="99"/>
    <w:pPr>
      <w:spacing w:before="100" w:after="100"/>
    </w:pPr>
    <w:rPr>
      <w:lang w:eastAsia="ru-RU"/>
    </w:rPr>
  </w:style>
  <w:style w:type="paragraph" w:customStyle="1" w:styleId="190">
    <w:name w:val="Обычный (веб)2"/>
    <w:basedOn w:val="1"/>
    <w:qFormat/>
    <w:uiPriority w:val="99"/>
    <w:pPr>
      <w:spacing w:before="280" w:after="280"/>
    </w:pPr>
  </w:style>
  <w:style w:type="paragraph" w:styleId="191">
    <w:name w:val="List Paragraph"/>
    <w:basedOn w:val="1"/>
    <w:qFormat/>
    <w:uiPriority w:val="0"/>
    <w:pPr>
      <w:ind w:left="720"/>
      <w:contextualSpacing/>
    </w:pPr>
    <w:rPr>
      <w:rFonts w:eastAsia="Calibri"/>
      <w:szCs w:val="20"/>
    </w:rPr>
  </w:style>
  <w:style w:type="paragraph" w:customStyle="1" w:styleId="192">
    <w:name w:val="Нормальний текст"/>
    <w:basedOn w:val="1"/>
    <w:qFormat/>
    <w:uiPriority w:val="99"/>
    <w:pPr>
      <w:spacing w:before="120"/>
      <w:ind w:firstLine="567"/>
      <w:jc w:val="both"/>
    </w:pPr>
    <w:rPr>
      <w:rFonts w:ascii="Antiqua" w:hAnsi="Antiqua"/>
      <w:sz w:val="26"/>
      <w:szCs w:val="20"/>
    </w:rPr>
  </w:style>
  <w:style w:type="table" w:customStyle="1" w:styleId="193">
    <w:name w:val="_Style 45"/>
    <w:basedOn w:val="194"/>
    <w:qFormat/>
    <w:uiPriority w:val="0"/>
    <w:pPr>
      <w:spacing w:after="0" w:line="240" w:lineRule="auto"/>
    </w:pPr>
    <w:tblPr>
      <w:tblCellMar>
        <w:top w:w="0" w:type="dxa"/>
        <w:left w:w="108" w:type="dxa"/>
        <w:bottom w:w="0" w:type="dxa"/>
        <w:right w:w="108" w:type="dxa"/>
      </w:tblCellMar>
    </w:tblPr>
  </w:style>
  <w:style w:type="table" w:customStyle="1" w:styleId="194">
    <w:name w:val="Table Normal1"/>
    <w:qFormat/>
    <w:uiPriority w:val="0"/>
  </w:style>
  <w:style w:type="paragraph" w:customStyle="1" w:styleId="195">
    <w:name w:val="docdata"/>
    <w:basedOn w:val="1"/>
    <w:qFormat/>
    <w:uiPriority w:val="0"/>
    <w:pPr>
      <w:spacing w:beforeAutospacing="1" w:afterAutospacing="1"/>
    </w:pPr>
  </w:style>
  <w:style w:type="character" w:customStyle="1" w:styleId="196">
    <w:name w:val="Основний текст (2)_"/>
    <w:qFormat/>
    <w:uiPriority w:val="99"/>
    <w:rPr>
      <w:rFonts w:ascii="Times New Roman" w:hAnsi="Times New Roman"/>
      <w:sz w:val="2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8012</Words>
  <Characters>53973</Characters>
  <Lines>369</Lines>
  <Paragraphs>103</Paragraphs>
  <TotalTime>13</TotalTime>
  <ScaleCrop>false</ScaleCrop>
  <LinksUpToDate>false</LinksUpToDate>
  <CharactersWithSpaces>61516</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2020-06-30T22:34:00Z</dcterms:created>
  <dc:creator>user-007</dc:creator>
  <cp:lastModifiedBy>o.semyonova</cp:lastModifiedBy>
  <cp:lastPrinted>2024-02-15T15:02:52Z</cp:lastPrinted>
  <dcterms:modified xsi:type="dcterms:W3CDTF">2024-02-15T15:04:28Z</dcterms:modified>
  <dc:title>ТОВАРИСТВО З ОБМЕЖЕНОЮ ВІДПОВІДАЛЬНІСТЮ</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401BCF753B804F2F8049E6B84C66532C</vt:lpwstr>
  </property>
  <property fmtid="{D5CDD505-2E9C-101B-9397-08002B2CF9AE}" pid="4" name="KSOProductBuildVer">
    <vt:lpwstr>1049-11.1.0.9505</vt:lpwstr>
  </property>
  <property fmtid="{D5CDD505-2E9C-101B-9397-08002B2CF9AE}" pid="5" name="LinksUpToDate">
    <vt:bool>false</vt:bool>
  </property>
  <property fmtid="{D5CDD505-2E9C-101B-9397-08002B2CF9AE}" pid="6" name="ScaleCrop">
    <vt:bool>false</vt:bool>
  </property>
</Properties>
</file>