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CD5A" w14:textId="77777777" w:rsidR="00B821C2" w:rsidRPr="00614090" w:rsidRDefault="00B821C2" w:rsidP="00B821C2">
      <w:pPr>
        <w:ind w:left="5660"/>
        <w:jc w:val="right"/>
        <w:rPr>
          <w:rFonts w:eastAsia="Arial"/>
          <w:b/>
          <w:color w:val="000000"/>
          <w:lang w:eastAsia="ru-RU"/>
        </w:rPr>
      </w:pPr>
      <w:r w:rsidRPr="00614090">
        <w:rPr>
          <w:rFonts w:eastAsia="Arial"/>
          <w:b/>
          <w:color w:val="000000"/>
          <w:lang w:eastAsia="ru-RU"/>
        </w:rPr>
        <w:t>ДОДАТОК  1</w:t>
      </w:r>
    </w:p>
    <w:p w14:paraId="5B3FC3B2" w14:textId="77777777" w:rsidR="00B821C2" w:rsidRPr="00614090" w:rsidRDefault="00B821C2" w:rsidP="00B821C2">
      <w:pPr>
        <w:ind w:left="5660"/>
        <w:jc w:val="right"/>
        <w:rPr>
          <w:rFonts w:eastAsia="Arial"/>
          <w:b/>
          <w:color w:val="000000"/>
          <w:lang w:eastAsia="ru-RU"/>
        </w:rPr>
      </w:pPr>
      <w:r w:rsidRPr="00614090">
        <w:rPr>
          <w:rFonts w:eastAsia="Arial"/>
          <w:b/>
          <w:color w:val="000000"/>
          <w:lang w:eastAsia="ru-RU"/>
        </w:rPr>
        <w:t>до тендерної документації </w:t>
      </w:r>
    </w:p>
    <w:p w14:paraId="384360E0" w14:textId="77777777" w:rsidR="00B821C2" w:rsidRPr="00614090" w:rsidRDefault="00B821C2" w:rsidP="00B821C2">
      <w:pPr>
        <w:spacing w:before="240"/>
        <w:jc w:val="center"/>
        <w:rPr>
          <w:rFonts w:eastAsia="Times New Roman"/>
          <w:b/>
          <w:i/>
          <w:color w:val="000000"/>
        </w:rPr>
      </w:pPr>
      <w:r w:rsidRPr="00614090">
        <w:rPr>
          <w:rFonts w:eastAsia="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BE849B8" w14:textId="77777777" w:rsidR="00B821C2" w:rsidRPr="00614090" w:rsidRDefault="00B821C2" w:rsidP="00B821C2">
      <w:pPr>
        <w:spacing w:before="240"/>
        <w:jc w:val="center"/>
        <w:rPr>
          <w:rFonts w:eastAsia="Times New Roman"/>
          <w:b/>
          <w:i/>
          <w:color w:val="000000"/>
          <w:sz w:val="4"/>
          <w:szCs w:val="4"/>
        </w:rPr>
      </w:pPr>
    </w:p>
    <w:p w14:paraId="6960D13D" w14:textId="77777777" w:rsidR="00B821C2" w:rsidRPr="00614090" w:rsidRDefault="00B821C2" w:rsidP="00B821C2">
      <w:pPr>
        <w:jc w:val="center"/>
        <w:rPr>
          <w:rFonts w:eastAsia="Times New Roman"/>
          <w:b/>
          <w:i/>
        </w:rPr>
      </w:pPr>
      <w:r w:rsidRPr="00614090">
        <w:rPr>
          <w:rFonts w:eastAsia="Times New Roman"/>
          <w:b/>
          <w:i/>
        </w:rPr>
        <w:t>ТЕХНІЧНА СПЕЦИФІКАЦІЯ</w:t>
      </w:r>
    </w:p>
    <w:p w14:paraId="4247F03F" w14:textId="77777777" w:rsidR="00B821C2" w:rsidRPr="00614090" w:rsidRDefault="00B821C2" w:rsidP="00B821C2">
      <w:pPr>
        <w:jc w:val="center"/>
        <w:rPr>
          <w:rFonts w:eastAsia="Times New Roman"/>
          <w:b/>
          <w:i/>
        </w:rPr>
      </w:pPr>
    </w:p>
    <w:p w14:paraId="38EAFC5B" w14:textId="6A5390F8" w:rsidR="004662FE" w:rsidRPr="00614090" w:rsidRDefault="00932EFB" w:rsidP="00490943">
      <w:pPr>
        <w:tabs>
          <w:tab w:val="left" w:pos="6412"/>
        </w:tabs>
        <w:ind w:right="275"/>
        <w:jc w:val="center"/>
        <w:rPr>
          <w:rFonts w:eastAsia="Times New Roman" w:cs="Times New Roman"/>
          <w:b/>
        </w:rPr>
      </w:pPr>
      <w:r w:rsidRPr="00614090">
        <w:rPr>
          <w:rFonts w:eastAsia="Times New Roman"/>
          <w:b/>
          <w:sz w:val="26"/>
          <w:szCs w:val="26"/>
        </w:rPr>
        <w:t xml:space="preserve">Гусеничний бульдозер згідно ДК 021:2015 – </w:t>
      </w:r>
      <w:r w:rsidRPr="00614090">
        <w:rPr>
          <w:b/>
          <w:sz w:val="26"/>
          <w:szCs w:val="26"/>
        </w:rPr>
        <w:t>43210000-8 — Машини для земляних робіт</w:t>
      </w:r>
    </w:p>
    <w:p w14:paraId="724BC03C" w14:textId="5F1AC1BE" w:rsidR="00B821C2" w:rsidRPr="00614090" w:rsidRDefault="00B821C2" w:rsidP="00490943">
      <w:pPr>
        <w:tabs>
          <w:tab w:val="left" w:pos="6412"/>
        </w:tabs>
        <w:ind w:right="275"/>
        <w:jc w:val="center"/>
        <w:rPr>
          <w:rFonts w:eastAsia="Times New Roman" w:cs="Times New Roman"/>
          <w:b/>
        </w:rPr>
      </w:pPr>
    </w:p>
    <w:p w14:paraId="20879148" w14:textId="0BDD4948" w:rsidR="00B821C2" w:rsidRPr="00614090" w:rsidRDefault="00B821C2" w:rsidP="00490943">
      <w:pPr>
        <w:tabs>
          <w:tab w:val="left" w:pos="6412"/>
        </w:tabs>
        <w:ind w:right="275"/>
        <w:jc w:val="center"/>
        <w:rPr>
          <w:rFonts w:eastAsia="Times New Roman" w:cs="Times New Roman"/>
          <w:b/>
        </w:rPr>
      </w:pPr>
    </w:p>
    <w:p w14:paraId="435105A1" w14:textId="77777777" w:rsidR="00B821C2" w:rsidRPr="00614090" w:rsidRDefault="00B821C2" w:rsidP="004662FE">
      <w:pPr>
        <w:tabs>
          <w:tab w:val="left" w:pos="6412"/>
        </w:tabs>
        <w:ind w:right="275"/>
        <w:rPr>
          <w:rFonts w:eastAsia="Times New Roman" w:cs="Times New Roman"/>
          <w:b/>
          <w:kern w:val="0"/>
          <w:lang w:eastAsia="ar-SA"/>
        </w:rPr>
      </w:pPr>
    </w:p>
    <w:tbl>
      <w:tblPr>
        <w:tblW w:w="10201" w:type="dxa"/>
        <w:jc w:val="center"/>
        <w:tblLayout w:type="fixed"/>
        <w:tblLook w:val="0000" w:firstRow="0" w:lastRow="0" w:firstColumn="0" w:lastColumn="0" w:noHBand="0" w:noVBand="0"/>
      </w:tblPr>
      <w:tblGrid>
        <w:gridCol w:w="851"/>
        <w:gridCol w:w="7082"/>
        <w:gridCol w:w="2268"/>
      </w:tblGrid>
      <w:tr w:rsidR="004662FE" w:rsidRPr="00614090" w14:paraId="20BE0637" w14:textId="77777777" w:rsidTr="00DD346A">
        <w:trPr>
          <w:trHeight w:val="581"/>
          <w:jc w:val="center"/>
        </w:trPr>
        <w:tc>
          <w:tcPr>
            <w:tcW w:w="851" w:type="dxa"/>
            <w:tcBorders>
              <w:top w:val="single" w:sz="4" w:space="0" w:color="000000"/>
              <w:left w:val="single" w:sz="4" w:space="0" w:color="000000"/>
              <w:bottom w:val="single" w:sz="4" w:space="0" w:color="000000"/>
            </w:tcBorders>
            <w:shd w:val="clear" w:color="auto" w:fill="auto"/>
            <w:vAlign w:val="center"/>
          </w:tcPr>
          <w:p w14:paraId="29DFF678" w14:textId="4717AEED" w:rsidR="004662FE" w:rsidRPr="00614090" w:rsidRDefault="004662FE" w:rsidP="004662FE">
            <w:pPr>
              <w:spacing w:line="276" w:lineRule="auto"/>
              <w:jc w:val="center"/>
              <w:rPr>
                <w:rFonts w:eastAsia="Arial" w:cs="Times New Roman"/>
                <w:b/>
                <w:kern w:val="0"/>
                <w:lang w:eastAsia="ru-RU"/>
              </w:rPr>
            </w:pPr>
            <w:r w:rsidRPr="00614090">
              <w:rPr>
                <w:rFonts w:eastAsia="Arial" w:cs="Times New Roman"/>
                <w:b/>
                <w:kern w:val="0"/>
                <w:lang w:eastAsia="ru-RU"/>
              </w:rPr>
              <w:t>№ з/п</w:t>
            </w:r>
          </w:p>
        </w:tc>
        <w:tc>
          <w:tcPr>
            <w:tcW w:w="7082" w:type="dxa"/>
            <w:tcBorders>
              <w:top w:val="single" w:sz="4" w:space="0" w:color="000000"/>
              <w:left w:val="single" w:sz="4" w:space="0" w:color="000000"/>
              <w:bottom w:val="single" w:sz="4" w:space="0" w:color="000000"/>
            </w:tcBorders>
            <w:shd w:val="clear" w:color="auto" w:fill="auto"/>
            <w:vAlign w:val="center"/>
          </w:tcPr>
          <w:p w14:paraId="0FFF110B" w14:textId="77777777" w:rsidR="004662FE" w:rsidRPr="00614090" w:rsidRDefault="004662FE" w:rsidP="004662FE">
            <w:pPr>
              <w:spacing w:line="276" w:lineRule="auto"/>
              <w:jc w:val="center"/>
              <w:rPr>
                <w:rFonts w:eastAsia="Arial" w:cs="Times New Roman"/>
                <w:b/>
                <w:kern w:val="0"/>
                <w:lang w:eastAsia="ru-RU"/>
              </w:rPr>
            </w:pPr>
            <w:r w:rsidRPr="00614090">
              <w:rPr>
                <w:rFonts w:eastAsia="Arial" w:cs="Times New Roman"/>
                <w:b/>
                <w:kern w:val="0"/>
                <w:lang w:eastAsia="ru-RU"/>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965B" w14:textId="77777777" w:rsidR="004662FE" w:rsidRPr="00614090" w:rsidRDefault="004662FE" w:rsidP="004662FE">
            <w:pPr>
              <w:spacing w:line="276" w:lineRule="auto"/>
              <w:jc w:val="center"/>
              <w:rPr>
                <w:rFonts w:eastAsia="Arial" w:cs="Times New Roman"/>
                <w:b/>
                <w:kern w:val="0"/>
                <w:lang w:eastAsia="ru-RU"/>
              </w:rPr>
            </w:pPr>
            <w:r w:rsidRPr="00614090">
              <w:rPr>
                <w:rFonts w:eastAsia="Arial" w:cs="Times New Roman"/>
                <w:b/>
                <w:kern w:val="0"/>
                <w:lang w:eastAsia="ru-RU"/>
              </w:rPr>
              <w:t>Підтвердження вимог учасником</w:t>
            </w:r>
          </w:p>
        </w:tc>
      </w:tr>
      <w:tr w:rsidR="004662FE" w:rsidRPr="00614090" w14:paraId="13FFB731" w14:textId="77777777" w:rsidTr="00DD346A">
        <w:trPr>
          <w:trHeight w:val="247"/>
          <w:jc w:val="center"/>
        </w:trPr>
        <w:tc>
          <w:tcPr>
            <w:tcW w:w="851" w:type="dxa"/>
            <w:tcBorders>
              <w:top w:val="single" w:sz="4" w:space="0" w:color="000000"/>
              <w:left w:val="single" w:sz="4" w:space="0" w:color="000000"/>
              <w:bottom w:val="single" w:sz="4" w:space="0" w:color="000000"/>
            </w:tcBorders>
            <w:shd w:val="clear" w:color="auto" w:fill="auto"/>
            <w:vAlign w:val="center"/>
          </w:tcPr>
          <w:p w14:paraId="350127B3" w14:textId="77777777" w:rsidR="004662FE" w:rsidRPr="00614090" w:rsidRDefault="004662FE" w:rsidP="004662FE">
            <w:pPr>
              <w:spacing w:line="276" w:lineRule="auto"/>
              <w:jc w:val="center"/>
              <w:rPr>
                <w:rFonts w:eastAsia="Arial" w:cs="Times New Roman"/>
                <w:b/>
                <w:kern w:val="0"/>
                <w:lang w:eastAsia="ru-RU"/>
              </w:rPr>
            </w:pPr>
            <w:r w:rsidRPr="00614090">
              <w:rPr>
                <w:rFonts w:eastAsia="Arial" w:cs="Times New Roman"/>
                <w:b/>
                <w:kern w:val="0"/>
                <w:lang w:eastAsia="ru-RU"/>
              </w:rPr>
              <w:t>1</w:t>
            </w:r>
          </w:p>
        </w:tc>
        <w:tc>
          <w:tcPr>
            <w:tcW w:w="7082" w:type="dxa"/>
            <w:tcBorders>
              <w:top w:val="single" w:sz="4" w:space="0" w:color="000000"/>
              <w:left w:val="single" w:sz="4" w:space="0" w:color="000000"/>
              <w:bottom w:val="single" w:sz="4" w:space="0" w:color="000000"/>
            </w:tcBorders>
            <w:shd w:val="clear" w:color="auto" w:fill="auto"/>
            <w:vAlign w:val="center"/>
          </w:tcPr>
          <w:p w14:paraId="085CCEF4" w14:textId="77777777" w:rsidR="004662FE" w:rsidRPr="00614090" w:rsidRDefault="004662FE" w:rsidP="004662FE">
            <w:pPr>
              <w:spacing w:line="276" w:lineRule="auto"/>
              <w:jc w:val="center"/>
              <w:rPr>
                <w:rFonts w:eastAsia="Arial" w:cs="Times New Roman"/>
                <w:b/>
                <w:kern w:val="0"/>
                <w:lang w:eastAsia="ru-RU"/>
              </w:rPr>
            </w:pPr>
            <w:r w:rsidRPr="00614090">
              <w:rPr>
                <w:rFonts w:eastAsia="Arial" w:cs="Times New Roman"/>
                <w:b/>
                <w:kern w:val="0"/>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20B5" w14:textId="77777777" w:rsidR="004662FE" w:rsidRPr="00614090" w:rsidRDefault="004662FE" w:rsidP="004662FE">
            <w:pPr>
              <w:spacing w:line="276" w:lineRule="auto"/>
              <w:jc w:val="center"/>
              <w:rPr>
                <w:rFonts w:eastAsia="Arial" w:cs="Times New Roman"/>
                <w:b/>
                <w:kern w:val="0"/>
                <w:lang w:eastAsia="ru-RU"/>
              </w:rPr>
            </w:pPr>
            <w:r w:rsidRPr="00614090">
              <w:rPr>
                <w:rFonts w:eastAsia="Arial" w:cs="Times New Roman"/>
                <w:b/>
                <w:kern w:val="0"/>
                <w:lang w:eastAsia="ru-RU"/>
              </w:rPr>
              <w:t>3</w:t>
            </w:r>
          </w:p>
        </w:tc>
      </w:tr>
    </w:tbl>
    <w:p w14:paraId="499B247A" w14:textId="77777777" w:rsidR="004662FE" w:rsidRPr="00614090" w:rsidRDefault="004662FE" w:rsidP="004662FE">
      <w:pPr>
        <w:spacing w:line="276" w:lineRule="auto"/>
        <w:ind w:firstLine="709"/>
        <w:jc w:val="both"/>
        <w:rPr>
          <w:rFonts w:eastAsia="Arial" w:cs="Times New Roman"/>
          <w:b/>
          <w:kern w:val="0"/>
          <w:lang w:eastAsia="ru-RU"/>
        </w:rPr>
      </w:pPr>
    </w:p>
    <w:p w14:paraId="54239AF5" w14:textId="729E9A87" w:rsidR="004662FE" w:rsidRPr="00614090" w:rsidRDefault="004662FE" w:rsidP="004662FE">
      <w:pPr>
        <w:spacing w:line="276" w:lineRule="auto"/>
        <w:ind w:firstLine="709"/>
        <w:jc w:val="both"/>
        <w:rPr>
          <w:rFonts w:eastAsia="Arial" w:cs="Times New Roman"/>
          <w:b/>
          <w:kern w:val="0"/>
          <w:lang w:eastAsia="ru-RU"/>
        </w:rPr>
      </w:pPr>
      <w:r w:rsidRPr="00614090">
        <w:rPr>
          <w:rFonts w:eastAsia="Arial" w:cs="Times New Roman"/>
          <w:b/>
          <w:kern w:val="0"/>
          <w:lang w:eastAsia="ru-RU"/>
        </w:rPr>
        <w:t xml:space="preserve">1. Загальні положення </w:t>
      </w:r>
    </w:p>
    <w:tbl>
      <w:tblPr>
        <w:tblW w:w="10099" w:type="dxa"/>
        <w:tblInd w:w="-34" w:type="dxa"/>
        <w:tblLayout w:type="fixed"/>
        <w:tblLook w:val="0000" w:firstRow="0" w:lastRow="0" w:firstColumn="0" w:lastColumn="0" w:noHBand="0" w:noVBand="0"/>
      </w:tblPr>
      <w:tblGrid>
        <w:gridCol w:w="993"/>
        <w:gridCol w:w="6838"/>
        <w:gridCol w:w="2268"/>
      </w:tblGrid>
      <w:tr w:rsidR="004662FE" w:rsidRPr="00614090" w14:paraId="56269160" w14:textId="77777777" w:rsidTr="00F224C7">
        <w:tc>
          <w:tcPr>
            <w:tcW w:w="993" w:type="dxa"/>
            <w:tcBorders>
              <w:top w:val="single" w:sz="4" w:space="0" w:color="000000"/>
              <w:left w:val="single" w:sz="4" w:space="0" w:color="000000"/>
              <w:bottom w:val="single" w:sz="4" w:space="0" w:color="000000"/>
            </w:tcBorders>
            <w:shd w:val="clear" w:color="auto" w:fill="auto"/>
          </w:tcPr>
          <w:p w14:paraId="74FC7FC5" w14:textId="77777777" w:rsidR="004662FE" w:rsidRPr="00614090" w:rsidRDefault="004662FE" w:rsidP="00990DC3">
            <w:pPr>
              <w:tabs>
                <w:tab w:val="left" w:pos="1560"/>
              </w:tabs>
              <w:spacing w:line="276" w:lineRule="auto"/>
              <w:ind w:left="-108" w:right="-142"/>
              <w:jc w:val="center"/>
              <w:rPr>
                <w:rFonts w:eastAsia="Arial" w:cs="Times New Roman"/>
                <w:kern w:val="0"/>
                <w:lang w:eastAsia="ru-RU"/>
              </w:rPr>
            </w:pPr>
            <w:r w:rsidRPr="00614090">
              <w:rPr>
                <w:rFonts w:eastAsia="Arial" w:cs="Times New Roman"/>
                <w:kern w:val="0"/>
                <w:lang w:eastAsia="ru-RU"/>
              </w:rPr>
              <w:t>1.1</w:t>
            </w:r>
          </w:p>
        </w:tc>
        <w:tc>
          <w:tcPr>
            <w:tcW w:w="6838" w:type="dxa"/>
            <w:tcBorders>
              <w:top w:val="single" w:sz="4" w:space="0" w:color="000000"/>
              <w:left w:val="single" w:sz="4" w:space="0" w:color="000000"/>
              <w:bottom w:val="single" w:sz="4" w:space="0" w:color="000000"/>
            </w:tcBorders>
            <w:shd w:val="clear" w:color="auto" w:fill="auto"/>
          </w:tcPr>
          <w:p w14:paraId="15BE8F72" w14:textId="77777777" w:rsidR="004662FE" w:rsidRPr="00614090" w:rsidRDefault="004662FE" w:rsidP="00990DC3">
            <w:pPr>
              <w:tabs>
                <w:tab w:val="left" w:pos="1560"/>
              </w:tabs>
              <w:spacing w:line="276" w:lineRule="auto"/>
              <w:jc w:val="both"/>
              <w:rPr>
                <w:rFonts w:eastAsia="Arial" w:cs="Times New Roman"/>
                <w:kern w:val="0"/>
                <w:lang w:eastAsia="ru-RU"/>
              </w:rPr>
            </w:pPr>
            <w:r w:rsidRPr="00614090">
              <w:rPr>
                <w:rFonts w:eastAsia="Arial" w:cs="Times New Roman"/>
                <w:kern w:val="0"/>
                <w:lang w:eastAsia="ru-RU"/>
              </w:rPr>
              <w:t>Кількість товару –  1 одиниця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1CB06"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25EB2230" w14:textId="77777777" w:rsidTr="00F224C7">
        <w:tc>
          <w:tcPr>
            <w:tcW w:w="993" w:type="dxa"/>
            <w:tcBorders>
              <w:top w:val="single" w:sz="4" w:space="0" w:color="000000"/>
              <w:left w:val="single" w:sz="4" w:space="0" w:color="000000"/>
              <w:bottom w:val="single" w:sz="4" w:space="0" w:color="000000"/>
            </w:tcBorders>
            <w:shd w:val="clear" w:color="auto" w:fill="auto"/>
          </w:tcPr>
          <w:p w14:paraId="20A3F4CE" w14:textId="77777777" w:rsidR="004662FE" w:rsidRPr="00614090" w:rsidRDefault="004662FE" w:rsidP="00990DC3">
            <w:pPr>
              <w:tabs>
                <w:tab w:val="left" w:pos="1560"/>
              </w:tabs>
              <w:spacing w:line="276" w:lineRule="auto"/>
              <w:ind w:left="-108" w:right="-142" w:firstLine="817"/>
              <w:jc w:val="center"/>
              <w:rPr>
                <w:rFonts w:eastAsia="Arial" w:cs="Times New Roman"/>
                <w:kern w:val="0"/>
                <w:lang w:eastAsia="ru-RU"/>
              </w:rPr>
            </w:pPr>
            <w:r w:rsidRPr="00614090">
              <w:rPr>
                <w:rFonts w:eastAsia="Arial" w:cs="Times New Roman"/>
                <w:kern w:val="0"/>
                <w:lang w:eastAsia="ru-RU"/>
              </w:rPr>
              <w:t>11.2</w:t>
            </w:r>
          </w:p>
        </w:tc>
        <w:tc>
          <w:tcPr>
            <w:tcW w:w="6838" w:type="dxa"/>
            <w:tcBorders>
              <w:top w:val="single" w:sz="4" w:space="0" w:color="000000"/>
              <w:left w:val="single" w:sz="4" w:space="0" w:color="000000"/>
              <w:bottom w:val="single" w:sz="4" w:space="0" w:color="000000"/>
            </w:tcBorders>
            <w:shd w:val="clear" w:color="auto" w:fill="auto"/>
          </w:tcPr>
          <w:p w14:paraId="4CF35003" w14:textId="77777777" w:rsidR="004662FE" w:rsidRPr="00614090" w:rsidRDefault="004662FE" w:rsidP="00990DC3">
            <w:pPr>
              <w:tabs>
                <w:tab w:val="left" w:pos="1560"/>
              </w:tabs>
              <w:spacing w:line="276" w:lineRule="auto"/>
              <w:jc w:val="both"/>
              <w:rPr>
                <w:rFonts w:eastAsia="Arial" w:cs="Times New Roman"/>
                <w:kern w:val="0"/>
                <w:lang w:eastAsia="ru-RU"/>
              </w:rPr>
            </w:pPr>
            <w:r w:rsidRPr="00614090">
              <w:rPr>
                <w:rFonts w:eastAsia="Arial" w:cs="Times New Roman"/>
                <w:kern w:val="0"/>
                <w:lang w:eastAsia="ru-RU"/>
              </w:rPr>
              <w:t>Бульдозер (далі – Товар) повинен бути новим, не бувшим у використанні, в стандартному заводському виконанні, без простою, готовим до експлуатації, не знаходитись під заставою чи під арештом, не раніше 2023 року випуску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516061"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3E3EC2C2" w14:textId="77777777" w:rsidTr="00F224C7">
        <w:tc>
          <w:tcPr>
            <w:tcW w:w="993" w:type="dxa"/>
            <w:tcBorders>
              <w:top w:val="single" w:sz="4" w:space="0" w:color="000000"/>
              <w:left w:val="single" w:sz="4" w:space="0" w:color="000000"/>
              <w:bottom w:val="single" w:sz="4" w:space="0" w:color="000000"/>
            </w:tcBorders>
            <w:shd w:val="clear" w:color="auto" w:fill="auto"/>
          </w:tcPr>
          <w:p w14:paraId="41A70298" w14:textId="2DDE026D" w:rsidR="004662FE" w:rsidRPr="00614090" w:rsidRDefault="00CA7E5C" w:rsidP="00990DC3">
            <w:pPr>
              <w:tabs>
                <w:tab w:val="left" w:pos="1560"/>
              </w:tabs>
              <w:spacing w:line="276" w:lineRule="auto"/>
              <w:ind w:left="-860" w:right="-142" w:firstLine="817"/>
              <w:jc w:val="center"/>
              <w:rPr>
                <w:rFonts w:eastAsia="Arial" w:cs="Times New Roman"/>
                <w:kern w:val="0"/>
                <w:lang w:eastAsia="ru-RU"/>
              </w:rPr>
            </w:pPr>
            <w:r w:rsidRPr="00614090">
              <w:rPr>
                <w:rFonts w:eastAsia="Arial" w:cs="Times New Roman"/>
                <w:kern w:val="0"/>
                <w:lang w:eastAsia="ru-RU"/>
              </w:rPr>
              <w:t>1.3</w:t>
            </w:r>
          </w:p>
        </w:tc>
        <w:tc>
          <w:tcPr>
            <w:tcW w:w="6838" w:type="dxa"/>
            <w:tcBorders>
              <w:top w:val="single" w:sz="4" w:space="0" w:color="000000"/>
              <w:left w:val="single" w:sz="4" w:space="0" w:color="000000"/>
              <w:bottom w:val="single" w:sz="4" w:space="0" w:color="000000"/>
            </w:tcBorders>
            <w:shd w:val="clear" w:color="auto" w:fill="auto"/>
          </w:tcPr>
          <w:p w14:paraId="3F1B5164" w14:textId="77777777" w:rsidR="004662FE" w:rsidRPr="00614090" w:rsidRDefault="004662FE" w:rsidP="00990DC3">
            <w:pPr>
              <w:tabs>
                <w:tab w:val="left" w:pos="1560"/>
              </w:tabs>
              <w:spacing w:line="276" w:lineRule="auto"/>
              <w:jc w:val="both"/>
              <w:rPr>
                <w:rFonts w:eastAsia="Arial" w:cs="Times New Roman"/>
                <w:kern w:val="0"/>
                <w:lang w:eastAsia="ru-RU"/>
              </w:rPr>
            </w:pPr>
            <w:r w:rsidRPr="00614090">
              <w:rPr>
                <w:rFonts w:eastAsia="Arial" w:cs="Times New Roman"/>
                <w:color w:val="000000"/>
                <w:kern w:val="0"/>
                <w:lang w:eastAsia="ru-RU"/>
              </w:rPr>
              <w:t>Товар має бути у зібраному і справному стані, без механічних пошкоджень і слідів корозії, з кондиціонером/обігрівачем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0E50CF"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3F530732" w14:textId="77777777" w:rsidTr="00F224C7">
        <w:tc>
          <w:tcPr>
            <w:tcW w:w="993" w:type="dxa"/>
            <w:tcBorders>
              <w:top w:val="single" w:sz="4" w:space="0" w:color="000000"/>
              <w:left w:val="single" w:sz="4" w:space="0" w:color="000000"/>
              <w:bottom w:val="single" w:sz="4" w:space="0" w:color="000000"/>
            </w:tcBorders>
            <w:shd w:val="clear" w:color="auto" w:fill="auto"/>
          </w:tcPr>
          <w:p w14:paraId="13E2238F" w14:textId="31341D84" w:rsidR="004662FE" w:rsidRPr="00614090" w:rsidRDefault="00CA7E5C" w:rsidP="00990DC3">
            <w:pPr>
              <w:tabs>
                <w:tab w:val="left" w:pos="1560"/>
              </w:tabs>
              <w:spacing w:line="276" w:lineRule="auto"/>
              <w:ind w:left="-860" w:right="-142" w:firstLine="817"/>
              <w:jc w:val="center"/>
              <w:rPr>
                <w:rFonts w:eastAsia="Arial" w:cs="Times New Roman"/>
                <w:kern w:val="0"/>
                <w:lang w:eastAsia="ru-RU"/>
              </w:rPr>
            </w:pPr>
            <w:r w:rsidRPr="00614090">
              <w:rPr>
                <w:rFonts w:eastAsia="Arial" w:cs="Times New Roman"/>
                <w:kern w:val="0"/>
                <w:lang w:eastAsia="ru-RU"/>
              </w:rPr>
              <w:t>1.</w:t>
            </w:r>
            <w:r w:rsidR="00292D47" w:rsidRPr="00614090">
              <w:rPr>
                <w:rFonts w:eastAsia="Arial" w:cs="Times New Roman"/>
                <w:kern w:val="0"/>
                <w:lang w:eastAsia="ru-RU"/>
              </w:rPr>
              <w:t>4</w:t>
            </w:r>
          </w:p>
        </w:tc>
        <w:tc>
          <w:tcPr>
            <w:tcW w:w="6838" w:type="dxa"/>
            <w:tcBorders>
              <w:top w:val="single" w:sz="4" w:space="0" w:color="000000"/>
              <w:left w:val="single" w:sz="4" w:space="0" w:color="000000"/>
              <w:bottom w:val="single" w:sz="4" w:space="0" w:color="000000"/>
            </w:tcBorders>
            <w:shd w:val="clear" w:color="auto" w:fill="auto"/>
          </w:tcPr>
          <w:p w14:paraId="657AE4F0" w14:textId="59A02F60" w:rsidR="004662FE" w:rsidRPr="00614090" w:rsidRDefault="004662FE" w:rsidP="00990DC3">
            <w:pPr>
              <w:tabs>
                <w:tab w:val="left" w:pos="1560"/>
              </w:tabs>
              <w:spacing w:line="276" w:lineRule="auto"/>
              <w:jc w:val="both"/>
              <w:rPr>
                <w:rFonts w:eastAsia="Arial" w:cs="Times New Roman"/>
                <w:kern w:val="0"/>
                <w:lang w:eastAsia="ru-RU"/>
              </w:rPr>
            </w:pPr>
            <w:r w:rsidRPr="00614090">
              <w:rPr>
                <w:rFonts w:eastAsia="Arial" w:cs="Times New Roman"/>
                <w:kern w:val="0"/>
                <w:lang w:eastAsia="ru-RU"/>
              </w:rPr>
              <w:t xml:space="preserve">Бульдозер повинен бути оснащений бульдозерним відвалом </w:t>
            </w:r>
            <w:r w:rsidR="00C412A8" w:rsidRPr="00614090">
              <w:rPr>
                <w:rFonts w:eastAsia="Arial" w:cs="Times New Roman"/>
                <w:kern w:val="0"/>
                <w:lang w:eastAsia="ru-RU"/>
              </w:rPr>
              <w:t xml:space="preserve">з захисною решіткою </w:t>
            </w:r>
            <w:r w:rsidRPr="00614090">
              <w:rPr>
                <w:rFonts w:eastAsia="Arial" w:cs="Times New Roman"/>
                <w:kern w:val="0"/>
                <w:lang w:eastAsia="ru-RU"/>
              </w:rPr>
              <w:t>для згортання твердих побутових відходів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ADA9AC"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bl>
    <w:p w14:paraId="47EAF0DF" w14:textId="77777777" w:rsidR="004662FE" w:rsidRPr="00614090" w:rsidRDefault="004662FE" w:rsidP="004662FE">
      <w:pPr>
        <w:tabs>
          <w:tab w:val="left" w:pos="1560"/>
        </w:tabs>
        <w:spacing w:line="276" w:lineRule="auto"/>
        <w:ind w:firstLine="709"/>
        <w:jc w:val="both"/>
        <w:rPr>
          <w:rFonts w:eastAsia="Arial" w:cs="Times New Roman"/>
          <w:b/>
          <w:kern w:val="0"/>
          <w:lang w:eastAsia="ru-RU"/>
        </w:rPr>
      </w:pPr>
    </w:p>
    <w:p w14:paraId="6F47EF97" w14:textId="5FD34AD7" w:rsidR="004662FE" w:rsidRPr="00614090" w:rsidRDefault="004662FE" w:rsidP="004662FE">
      <w:pPr>
        <w:tabs>
          <w:tab w:val="left" w:pos="1560"/>
        </w:tabs>
        <w:spacing w:line="276" w:lineRule="auto"/>
        <w:ind w:firstLine="709"/>
        <w:jc w:val="both"/>
        <w:rPr>
          <w:rFonts w:eastAsia="Arial" w:cs="Times New Roman"/>
          <w:b/>
          <w:kern w:val="0"/>
          <w:lang w:eastAsia="ru-RU"/>
        </w:rPr>
      </w:pPr>
      <w:r w:rsidRPr="00614090">
        <w:rPr>
          <w:rFonts w:eastAsia="Arial" w:cs="Times New Roman"/>
          <w:b/>
          <w:kern w:val="0"/>
          <w:lang w:eastAsia="ru-RU"/>
        </w:rPr>
        <w:t>2. Технічні параметри Товару</w:t>
      </w:r>
    </w:p>
    <w:tbl>
      <w:tblPr>
        <w:tblpPr w:leftFromText="180" w:rightFromText="180" w:vertAnchor="text" w:tblpY="1"/>
        <w:tblOverlap w:val="never"/>
        <w:tblW w:w="10060" w:type="dxa"/>
        <w:tblLayout w:type="fixed"/>
        <w:tblLook w:val="0000" w:firstRow="0" w:lastRow="0" w:firstColumn="0" w:lastColumn="0" w:noHBand="0" w:noVBand="0"/>
      </w:tblPr>
      <w:tblGrid>
        <w:gridCol w:w="851"/>
        <w:gridCol w:w="6804"/>
        <w:gridCol w:w="2405"/>
      </w:tblGrid>
      <w:tr w:rsidR="004662FE" w:rsidRPr="00614090" w14:paraId="1514334A" w14:textId="77777777" w:rsidTr="00990DC3">
        <w:tc>
          <w:tcPr>
            <w:tcW w:w="851" w:type="dxa"/>
            <w:tcBorders>
              <w:top w:val="single" w:sz="4" w:space="0" w:color="000000"/>
              <w:left w:val="single" w:sz="4" w:space="0" w:color="000000"/>
              <w:bottom w:val="single" w:sz="4" w:space="0" w:color="000000"/>
            </w:tcBorders>
            <w:shd w:val="clear" w:color="auto" w:fill="auto"/>
          </w:tcPr>
          <w:p w14:paraId="35BF594F" w14:textId="77777777" w:rsidR="004662FE" w:rsidRPr="00614090" w:rsidRDefault="004662FE" w:rsidP="00990DC3">
            <w:pPr>
              <w:tabs>
                <w:tab w:val="left" w:pos="1560"/>
              </w:tabs>
              <w:spacing w:line="276" w:lineRule="auto"/>
              <w:ind w:right="-156"/>
              <w:jc w:val="both"/>
              <w:rPr>
                <w:rFonts w:eastAsia="Arial" w:cs="Times New Roman"/>
                <w:b/>
                <w:kern w:val="0"/>
                <w:lang w:eastAsia="ru-RU"/>
              </w:rPr>
            </w:pPr>
            <w:r w:rsidRPr="00614090">
              <w:rPr>
                <w:rFonts w:eastAsia="Arial" w:cs="Times New Roman"/>
                <w:b/>
                <w:kern w:val="0"/>
                <w:lang w:eastAsia="ru-RU"/>
              </w:rPr>
              <w:t>2.1</w:t>
            </w:r>
          </w:p>
        </w:tc>
        <w:tc>
          <w:tcPr>
            <w:tcW w:w="6804" w:type="dxa"/>
            <w:tcBorders>
              <w:top w:val="single" w:sz="4" w:space="0" w:color="000000"/>
              <w:left w:val="single" w:sz="4" w:space="0" w:color="000000"/>
              <w:bottom w:val="single" w:sz="4" w:space="0" w:color="000000"/>
            </w:tcBorders>
            <w:shd w:val="clear" w:color="auto" w:fill="auto"/>
          </w:tcPr>
          <w:p w14:paraId="08D20372" w14:textId="77777777" w:rsidR="004662FE" w:rsidRPr="00614090" w:rsidRDefault="004662FE" w:rsidP="00990DC3">
            <w:pPr>
              <w:tabs>
                <w:tab w:val="left" w:pos="1560"/>
                <w:tab w:val="left" w:pos="2310"/>
              </w:tabs>
              <w:spacing w:line="276" w:lineRule="auto"/>
              <w:jc w:val="both"/>
              <w:rPr>
                <w:rFonts w:eastAsia="Arial" w:cs="Times New Roman"/>
                <w:b/>
                <w:color w:val="000000"/>
                <w:kern w:val="0"/>
                <w:lang w:eastAsia="ru-RU"/>
              </w:rPr>
            </w:pPr>
            <w:r w:rsidRPr="00614090">
              <w:rPr>
                <w:rFonts w:eastAsia="Arial" w:cs="Times New Roman"/>
                <w:b/>
                <w:color w:val="000000"/>
                <w:kern w:val="0"/>
                <w:lang w:eastAsia="ru-RU"/>
              </w:rPr>
              <w:t>Загальні характеристики</w:t>
            </w:r>
            <w:r w:rsidRPr="00614090">
              <w:rPr>
                <w:rFonts w:eastAsia="Arial" w:cs="Times New Roman"/>
                <w:b/>
                <w:kern w:val="0"/>
                <w:lang w:eastAsia="ru-RU"/>
              </w:rPr>
              <w:t>:</w:t>
            </w:r>
            <w:r w:rsidRPr="00614090">
              <w:rPr>
                <w:rFonts w:eastAsia="Arial" w:cs="Times New Roman"/>
                <w:b/>
                <w:kern w:val="0"/>
                <w:lang w:eastAsia="ru-RU"/>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BDAD46C"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128EFE9B" w14:textId="77777777" w:rsidTr="00990DC3">
        <w:tc>
          <w:tcPr>
            <w:tcW w:w="851" w:type="dxa"/>
            <w:tcBorders>
              <w:top w:val="single" w:sz="4" w:space="0" w:color="000000"/>
              <w:left w:val="single" w:sz="4" w:space="0" w:color="000000"/>
              <w:bottom w:val="single" w:sz="4" w:space="0" w:color="000000"/>
            </w:tcBorders>
            <w:shd w:val="clear" w:color="auto" w:fill="auto"/>
          </w:tcPr>
          <w:p w14:paraId="430061B1"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0B0ABE8" w14:textId="3C6D2392" w:rsidR="004662FE" w:rsidRPr="00614090" w:rsidRDefault="004662FE" w:rsidP="00990DC3">
            <w:pPr>
              <w:tabs>
                <w:tab w:val="left" w:pos="1276"/>
                <w:tab w:val="left" w:pos="10348"/>
                <w:tab w:val="left" w:pos="13892"/>
              </w:tabs>
              <w:spacing w:line="276" w:lineRule="auto"/>
              <w:contextualSpacing/>
              <w:jc w:val="both"/>
              <w:rPr>
                <w:rFonts w:eastAsia="Calibri" w:cs="Times New Roman"/>
                <w:kern w:val="0"/>
              </w:rPr>
            </w:pPr>
            <w:r w:rsidRPr="00614090">
              <w:rPr>
                <w:rFonts w:eastAsia="Calibri" w:cs="Times New Roman"/>
                <w:kern w:val="0"/>
              </w:rPr>
              <w:t xml:space="preserve">Експлуатаційна маса бульдозера, не більше – </w:t>
            </w:r>
            <w:r w:rsidR="0004477D" w:rsidRPr="00614090">
              <w:rPr>
                <w:rFonts w:eastAsia="Calibri" w:cs="Times New Roman"/>
                <w:bCs/>
                <w:kern w:val="0"/>
              </w:rPr>
              <w:t>17</w:t>
            </w:r>
            <w:r w:rsidRPr="00614090">
              <w:rPr>
                <w:rFonts w:eastAsia="Calibri" w:cs="Times New Roman"/>
                <w:bCs/>
                <w:kern w:val="0"/>
              </w:rPr>
              <w:t xml:space="preserve"> </w:t>
            </w:r>
            <w:r w:rsidR="0004477D" w:rsidRPr="00614090">
              <w:rPr>
                <w:rFonts w:eastAsia="Calibri" w:cs="Times New Roman"/>
                <w:bCs/>
                <w:kern w:val="0"/>
              </w:rPr>
              <w:t>00</w:t>
            </w:r>
            <w:r w:rsidR="00383C48" w:rsidRPr="00614090">
              <w:rPr>
                <w:rFonts w:eastAsia="Calibri" w:cs="Times New Roman"/>
                <w:bCs/>
                <w:kern w:val="0"/>
              </w:rPr>
              <w:t>0</w:t>
            </w:r>
            <w:r w:rsidRPr="00614090">
              <w:rPr>
                <w:rFonts w:eastAsia="Calibri" w:cs="Times New Roman"/>
                <w:kern w:val="0"/>
              </w:rPr>
              <w:t xml:space="preserve"> кг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4BF8647"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01AD966E" w14:textId="77777777" w:rsidTr="00990DC3">
        <w:tc>
          <w:tcPr>
            <w:tcW w:w="851" w:type="dxa"/>
            <w:tcBorders>
              <w:top w:val="single" w:sz="4" w:space="0" w:color="000000"/>
              <w:left w:val="single" w:sz="4" w:space="0" w:color="000000"/>
              <w:bottom w:val="single" w:sz="4" w:space="0" w:color="000000"/>
            </w:tcBorders>
            <w:shd w:val="clear" w:color="auto" w:fill="auto"/>
          </w:tcPr>
          <w:p w14:paraId="12CA30C1"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71BD0CED" w14:textId="74E26657" w:rsidR="004662FE" w:rsidRPr="00614090" w:rsidRDefault="004662FE" w:rsidP="00990DC3">
            <w:pPr>
              <w:tabs>
                <w:tab w:val="left" w:pos="1560"/>
              </w:tabs>
              <w:jc w:val="both"/>
              <w:rPr>
                <w:rFonts w:eastAsia="Arial" w:cs="Times New Roman"/>
                <w:color w:val="000000"/>
                <w:kern w:val="0"/>
                <w:lang w:eastAsia="ru-RU"/>
              </w:rPr>
            </w:pPr>
            <w:r w:rsidRPr="00614090">
              <w:rPr>
                <w:rFonts w:eastAsia="Calibri" w:cs="Times New Roman"/>
                <w:kern w:val="0"/>
              </w:rPr>
              <w:t xml:space="preserve">Тиск на ґрунт, не більше – </w:t>
            </w:r>
            <w:r w:rsidR="00C83438" w:rsidRPr="00614090">
              <w:rPr>
                <w:rFonts w:eastAsia="Calibri" w:cs="Times New Roman"/>
                <w:kern w:val="0"/>
              </w:rPr>
              <w:t>67</w:t>
            </w:r>
            <w:r w:rsidRPr="00614090">
              <w:rPr>
                <w:rFonts w:eastAsia="Calibri" w:cs="Times New Roman"/>
                <w:kern w:val="0"/>
              </w:rPr>
              <w:t xml:space="preserve"> кПа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CA5DA1D"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50B983EE" w14:textId="77777777" w:rsidTr="00990DC3">
        <w:tc>
          <w:tcPr>
            <w:tcW w:w="851" w:type="dxa"/>
            <w:tcBorders>
              <w:top w:val="single" w:sz="4" w:space="0" w:color="000000"/>
              <w:left w:val="single" w:sz="4" w:space="0" w:color="000000"/>
              <w:bottom w:val="single" w:sz="4" w:space="0" w:color="000000"/>
            </w:tcBorders>
            <w:shd w:val="clear" w:color="auto" w:fill="auto"/>
          </w:tcPr>
          <w:p w14:paraId="7B70B23B"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726B16" w14:textId="2CDE859F" w:rsidR="004662FE" w:rsidRPr="00614090" w:rsidRDefault="004662FE" w:rsidP="00990DC3">
            <w:pPr>
              <w:tabs>
                <w:tab w:val="left" w:pos="1560"/>
              </w:tabs>
              <w:jc w:val="both"/>
              <w:rPr>
                <w:rFonts w:eastAsia="Arial" w:cs="Times New Roman"/>
                <w:color w:val="000000"/>
                <w:kern w:val="0"/>
                <w:lang w:eastAsia="ru-RU"/>
              </w:rPr>
            </w:pPr>
            <w:r w:rsidRPr="00614090">
              <w:rPr>
                <w:rFonts w:eastAsia="Calibri" w:cs="Times New Roman"/>
                <w:bCs/>
                <w:kern w:val="0"/>
              </w:rPr>
              <w:t xml:space="preserve">Максимальна швидкість руху вперед, не </w:t>
            </w:r>
            <w:r w:rsidR="00487F75" w:rsidRPr="00614090">
              <w:rPr>
                <w:rFonts w:eastAsia="Calibri" w:cs="Times New Roman"/>
                <w:bCs/>
                <w:kern w:val="0"/>
              </w:rPr>
              <w:t>більше</w:t>
            </w:r>
            <w:r w:rsidRPr="00614090">
              <w:rPr>
                <w:rFonts w:eastAsia="Calibri" w:cs="Times New Roman"/>
                <w:bCs/>
                <w:kern w:val="0"/>
              </w:rPr>
              <w:t xml:space="preserve"> – </w:t>
            </w:r>
            <w:r w:rsidR="00480BF9" w:rsidRPr="00614090">
              <w:rPr>
                <w:rFonts w:eastAsia="Calibri" w:cs="Times New Roman"/>
                <w:kern w:val="0"/>
              </w:rPr>
              <w:t>10</w:t>
            </w:r>
            <w:r w:rsidRPr="00614090">
              <w:rPr>
                <w:rFonts w:eastAsia="Calibri" w:cs="Times New Roman"/>
                <w:kern w:val="0"/>
              </w:rPr>
              <w:t>,</w:t>
            </w:r>
            <w:r w:rsidR="00487F75" w:rsidRPr="00614090">
              <w:rPr>
                <w:rFonts w:eastAsia="Calibri" w:cs="Times New Roman"/>
                <w:kern w:val="0"/>
              </w:rPr>
              <w:t>6</w:t>
            </w:r>
            <w:r w:rsidRPr="00614090">
              <w:rPr>
                <w:rFonts w:eastAsia="Calibri" w:cs="Times New Roman"/>
                <w:kern w:val="0"/>
              </w:rPr>
              <w:t xml:space="preserve">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982F9E5"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46AD7199" w14:textId="77777777" w:rsidTr="00990DC3">
        <w:tc>
          <w:tcPr>
            <w:tcW w:w="851" w:type="dxa"/>
            <w:tcBorders>
              <w:top w:val="single" w:sz="4" w:space="0" w:color="000000"/>
              <w:left w:val="single" w:sz="4" w:space="0" w:color="000000"/>
              <w:bottom w:val="single" w:sz="4" w:space="0" w:color="000000"/>
            </w:tcBorders>
            <w:shd w:val="clear" w:color="auto" w:fill="auto"/>
          </w:tcPr>
          <w:p w14:paraId="78073512"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78BFE28" w14:textId="3AF98E5A" w:rsidR="004662FE" w:rsidRPr="00614090" w:rsidRDefault="004662FE" w:rsidP="00990DC3">
            <w:pPr>
              <w:tabs>
                <w:tab w:val="left" w:pos="1560"/>
              </w:tabs>
              <w:jc w:val="both"/>
              <w:rPr>
                <w:rFonts w:eastAsia="Arial" w:cs="Times New Roman"/>
                <w:color w:val="000000"/>
                <w:kern w:val="0"/>
                <w:lang w:eastAsia="ru-RU"/>
              </w:rPr>
            </w:pPr>
            <w:r w:rsidRPr="00614090">
              <w:rPr>
                <w:rFonts w:eastAsia="Calibri" w:cs="Times New Roman"/>
                <w:bCs/>
                <w:kern w:val="0"/>
              </w:rPr>
              <w:t xml:space="preserve">Максимальна швидкість руху назад, не </w:t>
            </w:r>
            <w:r w:rsidR="00487F75" w:rsidRPr="00614090">
              <w:rPr>
                <w:rFonts w:eastAsia="Calibri" w:cs="Times New Roman"/>
                <w:bCs/>
                <w:kern w:val="0"/>
              </w:rPr>
              <w:t>більше</w:t>
            </w:r>
            <w:r w:rsidRPr="00614090">
              <w:rPr>
                <w:rFonts w:eastAsia="Calibri" w:cs="Times New Roman"/>
                <w:bCs/>
                <w:kern w:val="0"/>
              </w:rPr>
              <w:t xml:space="preserve"> – </w:t>
            </w:r>
            <w:r w:rsidRPr="00614090">
              <w:rPr>
                <w:rFonts w:eastAsia="Calibri" w:cs="Times New Roman"/>
                <w:kern w:val="0"/>
              </w:rPr>
              <w:t>1</w:t>
            </w:r>
            <w:r w:rsidR="00480BF9" w:rsidRPr="00614090">
              <w:rPr>
                <w:rFonts w:eastAsia="Calibri" w:cs="Times New Roman"/>
                <w:kern w:val="0"/>
              </w:rPr>
              <w:t>3,6</w:t>
            </w:r>
            <w:r w:rsidRPr="00614090">
              <w:rPr>
                <w:rFonts w:eastAsia="Calibri" w:cs="Times New Roman"/>
                <w:kern w:val="0"/>
              </w:rPr>
              <w:t xml:space="preserve">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0A21FDE"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4D4F1115" w14:textId="77777777" w:rsidTr="00990DC3">
        <w:tc>
          <w:tcPr>
            <w:tcW w:w="851" w:type="dxa"/>
            <w:tcBorders>
              <w:top w:val="single" w:sz="4" w:space="0" w:color="000000"/>
              <w:left w:val="single" w:sz="4" w:space="0" w:color="000000"/>
              <w:bottom w:val="single" w:sz="4" w:space="0" w:color="000000"/>
            </w:tcBorders>
            <w:shd w:val="clear" w:color="auto" w:fill="auto"/>
          </w:tcPr>
          <w:p w14:paraId="06EBCE48"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1F554F83" w14:textId="5B6121B6" w:rsidR="004662FE" w:rsidRPr="00614090" w:rsidRDefault="004662FE" w:rsidP="00990DC3">
            <w:pPr>
              <w:tabs>
                <w:tab w:val="left" w:pos="1560"/>
              </w:tabs>
              <w:jc w:val="both"/>
              <w:rPr>
                <w:rFonts w:eastAsia="Arial" w:cs="Times New Roman"/>
                <w:color w:val="000000"/>
                <w:kern w:val="0"/>
                <w:lang w:eastAsia="ru-RU"/>
              </w:rPr>
            </w:pPr>
            <w:r w:rsidRPr="00614090">
              <w:rPr>
                <w:rFonts w:eastAsia="Calibri" w:cs="Times New Roman"/>
                <w:bCs/>
                <w:kern w:val="0"/>
              </w:rPr>
              <w:t xml:space="preserve">Максимальне тягове зусилля, не менше – </w:t>
            </w:r>
            <w:r w:rsidR="0015525F" w:rsidRPr="00614090">
              <w:rPr>
                <w:rFonts w:eastAsia="Calibri" w:cs="Times New Roman"/>
                <w:bCs/>
                <w:kern w:val="0"/>
              </w:rPr>
              <w:t>15</w:t>
            </w:r>
            <w:r w:rsidR="00451AA3" w:rsidRPr="00614090">
              <w:rPr>
                <w:rFonts w:eastAsia="Calibri" w:cs="Times New Roman"/>
                <w:color w:val="000000"/>
                <w:kern w:val="0"/>
              </w:rPr>
              <w:t>0</w:t>
            </w:r>
            <w:r w:rsidRPr="00614090">
              <w:rPr>
                <w:rFonts w:eastAsia="Calibri" w:cs="Times New Roman"/>
                <w:color w:val="000000"/>
                <w:kern w:val="0"/>
              </w:rPr>
              <w:t xml:space="preserve"> кН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6D826A3"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28D08A93" w14:textId="77777777" w:rsidTr="00990DC3">
        <w:tc>
          <w:tcPr>
            <w:tcW w:w="851" w:type="dxa"/>
            <w:tcBorders>
              <w:top w:val="single" w:sz="4" w:space="0" w:color="000000"/>
              <w:left w:val="single" w:sz="4" w:space="0" w:color="000000"/>
              <w:bottom w:val="single" w:sz="4" w:space="0" w:color="000000"/>
            </w:tcBorders>
            <w:shd w:val="clear" w:color="auto" w:fill="auto"/>
          </w:tcPr>
          <w:p w14:paraId="6D4F329C"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2557EAA" w14:textId="15574C5D" w:rsidR="004662FE" w:rsidRPr="00614090" w:rsidRDefault="004662FE" w:rsidP="00990DC3">
            <w:pPr>
              <w:outlineLvl w:val="0"/>
              <w:rPr>
                <w:rFonts w:eastAsia="Times New Roman" w:cs="Times New Roman"/>
                <w:kern w:val="0"/>
                <w:lang w:eastAsia="ru-RU"/>
              </w:rPr>
            </w:pPr>
            <w:r w:rsidRPr="00614090">
              <w:rPr>
                <w:rFonts w:eastAsia="Calibri" w:cs="Times New Roman"/>
                <w:kern w:val="0"/>
              </w:rPr>
              <w:t>Габаритна розміри (Д</w:t>
            </w:r>
            <w:r w:rsidR="00CB5058" w:rsidRPr="00614090">
              <w:rPr>
                <w:rFonts w:eastAsia="Calibri" w:cs="Times New Roman"/>
                <w:kern w:val="0"/>
              </w:rPr>
              <w:t>овжина</w:t>
            </w:r>
            <w:r w:rsidRPr="00614090">
              <w:rPr>
                <w:rFonts w:eastAsia="Calibri" w:cs="Times New Roman"/>
                <w:kern w:val="0"/>
              </w:rPr>
              <w:t xml:space="preserve">), не </w:t>
            </w:r>
            <w:r w:rsidR="00451AA3" w:rsidRPr="00614090">
              <w:rPr>
                <w:rFonts w:eastAsia="Calibri" w:cs="Times New Roman"/>
                <w:kern w:val="0"/>
              </w:rPr>
              <w:t xml:space="preserve"> менше</w:t>
            </w:r>
            <w:r w:rsidRPr="00614090">
              <w:rPr>
                <w:rFonts w:eastAsia="Calibri" w:cs="Times New Roman"/>
                <w:kern w:val="0"/>
              </w:rPr>
              <w:t xml:space="preserve"> – 5</w:t>
            </w:r>
            <w:r w:rsidR="00480BF9" w:rsidRPr="00614090">
              <w:rPr>
                <w:rFonts w:eastAsia="Calibri" w:cs="Times New Roman"/>
                <w:kern w:val="0"/>
              </w:rPr>
              <w:t>00</w:t>
            </w:r>
            <w:r w:rsidR="00487F75" w:rsidRPr="00614090">
              <w:rPr>
                <w:rFonts w:eastAsia="Calibri" w:cs="Times New Roman"/>
                <w:kern w:val="0"/>
              </w:rPr>
              <w:t>0</w:t>
            </w:r>
            <w:r w:rsidRPr="00614090">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E8FA20"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CB5058" w:rsidRPr="00614090" w14:paraId="3DA85481" w14:textId="77777777" w:rsidTr="006F3D4B">
        <w:tc>
          <w:tcPr>
            <w:tcW w:w="851" w:type="dxa"/>
            <w:tcBorders>
              <w:top w:val="single" w:sz="4" w:space="0" w:color="000000"/>
              <w:left w:val="single" w:sz="4" w:space="0" w:color="000000"/>
              <w:bottom w:val="single" w:sz="4" w:space="0" w:color="000000"/>
            </w:tcBorders>
            <w:shd w:val="clear" w:color="auto" w:fill="auto"/>
          </w:tcPr>
          <w:p w14:paraId="50C30E5A" w14:textId="77777777" w:rsidR="00CB5058" w:rsidRPr="00614090" w:rsidRDefault="00CB5058" w:rsidP="00CB5058">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660A6A6F" w14:textId="46899C47" w:rsidR="00CB5058" w:rsidRPr="00614090" w:rsidRDefault="00CB5058" w:rsidP="00CA7E5C">
            <w:pPr>
              <w:outlineLvl w:val="0"/>
              <w:rPr>
                <w:rFonts w:eastAsia="Calibri" w:cs="Times New Roman"/>
                <w:kern w:val="0"/>
              </w:rPr>
            </w:pPr>
            <w:r w:rsidRPr="00614090">
              <w:t>Габар</w:t>
            </w:r>
            <w:r w:rsidR="00480BF9" w:rsidRPr="00614090">
              <w:t>итна розміри (Ширина), не менше – 340</w:t>
            </w:r>
            <w:r w:rsidR="00CA7E5C" w:rsidRPr="00614090">
              <w:t>0</w:t>
            </w:r>
            <w:r w:rsidRPr="00614090">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8A21910" w14:textId="77777777" w:rsidR="00CB5058" w:rsidRPr="00614090" w:rsidRDefault="00CB5058" w:rsidP="00CB5058">
            <w:pPr>
              <w:tabs>
                <w:tab w:val="left" w:pos="1560"/>
              </w:tabs>
              <w:spacing w:line="276" w:lineRule="auto"/>
              <w:ind w:firstLine="709"/>
              <w:jc w:val="both"/>
              <w:rPr>
                <w:rFonts w:eastAsia="Arial" w:cs="Times New Roman"/>
                <w:kern w:val="0"/>
                <w:lang w:eastAsia="ru-RU"/>
              </w:rPr>
            </w:pPr>
          </w:p>
        </w:tc>
      </w:tr>
      <w:tr w:rsidR="00CB5058" w:rsidRPr="00614090" w14:paraId="28377CE7" w14:textId="77777777" w:rsidTr="006F3D4B">
        <w:tc>
          <w:tcPr>
            <w:tcW w:w="851" w:type="dxa"/>
            <w:tcBorders>
              <w:top w:val="single" w:sz="4" w:space="0" w:color="000000"/>
              <w:left w:val="single" w:sz="4" w:space="0" w:color="000000"/>
              <w:bottom w:val="single" w:sz="4" w:space="0" w:color="000000"/>
            </w:tcBorders>
            <w:shd w:val="clear" w:color="auto" w:fill="auto"/>
          </w:tcPr>
          <w:p w14:paraId="1AA7A29D" w14:textId="77777777" w:rsidR="00CB5058" w:rsidRPr="00614090" w:rsidRDefault="00CB5058" w:rsidP="00CB5058">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C162E70" w14:textId="4F222A20" w:rsidR="00CB5058" w:rsidRPr="00614090" w:rsidRDefault="00CB5058" w:rsidP="00CA7E5C">
            <w:pPr>
              <w:outlineLvl w:val="0"/>
              <w:rPr>
                <w:rFonts w:eastAsia="Calibri" w:cs="Times New Roman"/>
                <w:kern w:val="0"/>
              </w:rPr>
            </w:pPr>
            <w:r w:rsidRPr="00614090">
              <w:t>Габаритна розміри (Висота), не більше – 30</w:t>
            </w:r>
            <w:r w:rsidR="00480BF9" w:rsidRPr="00614090">
              <w:t>0</w:t>
            </w:r>
            <w:r w:rsidR="00CA7E5C" w:rsidRPr="00614090">
              <w:t>0</w:t>
            </w:r>
            <w:r w:rsidRPr="00614090">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A004A83" w14:textId="77777777" w:rsidR="00CB5058" w:rsidRPr="00614090" w:rsidRDefault="00CB5058" w:rsidP="00CB5058">
            <w:pPr>
              <w:tabs>
                <w:tab w:val="left" w:pos="1560"/>
              </w:tabs>
              <w:spacing w:line="276" w:lineRule="auto"/>
              <w:ind w:firstLine="709"/>
              <w:jc w:val="both"/>
              <w:rPr>
                <w:rFonts w:eastAsia="Arial" w:cs="Times New Roman"/>
                <w:kern w:val="0"/>
                <w:lang w:eastAsia="ru-RU"/>
              </w:rPr>
            </w:pPr>
          </w:p>
        </w:tc>
      </w:tr>
      <w:tr w:rsidR="004662FE" w:rsidRPr="00614090" w14:paraId="45C5DF59" w14:textId="77777777" w:rsidTr="00990DC3">
        <w:tc>
          <w:tcPr>
            <w:tcW w:w="851" w:type="dxa"/>
            <w:tcBorders>
              <w:top w:val="single" w:sz="4" w:space="0" w:color="000000"/>
              <w:left w:val="single" w:sz="4" w:space="0" w:color="000000"/>
              <w:bottom w:val="single" w:sz="4" w:space="0" w:color="000000"/>
            </w:tcBorders>
            <w:shd w:val="clear" w:color="auto" w:fill="auto"/>
          </w:tcPr>
          <w:p w14:paraId="6360E112"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6A76E2C" w14:textId="620B127D" w:rsidR="004662FE" w:rsidRPr="00614090" w:rsidRDefault="004662FE" w:rsidP="00990DC3">
            <w:pPr>
              <w:outlineLvl w:val="0"/>
              <w:rPr>
                <w:rFonts w:eastAsia="Times New Roman" w:cs="Times New Roman"/>
                <w:kern w:val="0"/>
                <w:lang w:eastAsia="ru-RU"/>
              </w:rPr>
            </w:pPr>
            <w:r w:rsidRPr="00614090">
              <w:rPr>
                <w:rFonts w:eastAsia="Times New Roman" w:cs="Times New Roman"/>
                <w:kern w:val="0"/>
                <w:lang w:eastAsia="ru-RU"/>
              </w:rPr>
              <w:t xml:space="preserve">Ширина колії, не менше – </w:t>
            </w:r>
            <w:r w:rsidR="00CB5058" w:rsidRPr="00614090">
              <w:rPr>
                <w:rFonts w:eastAsia="Times New Roman" w:cs="Times New Roman"/>
                <w:kern w:val="0"/>
                <w:lang w:eastAsia="ru-RU"/>
              </w:rPr>
              <w:t>188</w:t>
            </w:r>
            <w:r w:rsidRPr="00614090">
              <w:rPr>
                <w:rFonts w:eastAsia="Times New Roman" w:cs="Times New Roman"/>
                <w:kern w:val="0"/>
                <w:lang w:eastAsia="ru-RU"/>
              </w:rPr>
              <w:t>0мм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03A406A"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49F98E8E" w14:textId="77777777" w:rsidTr="00990DC3">
        <w:tc>
          <w:tcPr>
            <w:tcW w:w="851" w:type="dxa"/>
            <w:tcBorders>
              <w:top w:val="single" w:sz="4" w:space="0" w:color="000000"/>
              <w:left w:val="single" w:sz="4" w:space="0" w:color="000000"/>
              <w:bottom w:val="single" w:sz="4" w:space="0" w:color="000000"/>
            </w:tcBorders>
            <w:shd w:val="clear" w:color="auto" w:fill="auto"/>
          </w:tcPr>
          <w:p w14:paraId="5316460D" w14:textId="77777777" w:rsidR="004662FE" w:rsidRPr="00614090" w:rsidRDefault="004662FE" w:rsidP="00990DC3">
            <w:pPr>
              <w:tabs>
                <w:tab w:val="left" w:pos="1560"/>
              </w:tabs>
              <w:jc w:val="center"/>
              <w:rPr>
                <w:rFonts w:eastAsia="Arial" w:cs="Times New Roman"/>
                <w:b/>
                <w:color w:val="000000"/>
                <w:kern w:val="0"/>
                <w:lang w:eastAsia="ru-RU"/>
              </w:rPr>
            </w:pPr>
            <w:r w:rsidRPr="00614090">
              <w:rPr>
                <w:rFonts w:eastAsia="Arial" w:cs="Times New Roman"/>
                <w:b/>
                <w:color w:val="000000"/>
                <w:kern w:val="0"/>
                <w:lang w:eastAsia="ru-RU"/>
              </w:rPr>
              <w:t>2.2</w:t>
            </w:r>
          </w:p>
        </w:tc>
        <w:tc>
          <w:tcPr>
            <w:tcW w:w="6804" w:type="dxa"/>
            <w:tcBorders>
              <w:top w:val="single" w:sz="4" w:space="0" w:color="000000"/>
              <w:left w:val="single" w:sz="4" w:space="0" w:color="000000"/>
              <w:bottom w:val="single" w:sz="4" w:space="0" w:color="000000"/>
            </w:tcBorders>
            <w:shd w:val="clear" w:color="auto" w:fill="auto"/>
          </w:tcPr>
          <w:p w14:paraId="188A5012" w14:textId="77777777" w:rsidR="004662FE" w:rsidRPr="00614090" w:rsidRDefault="004662FE" w:rsidP="00990DC3">
            <w:pPr>
              <w:tabs>
                <w:tab w:val="left" w:pos="1560"/>
              </w:tabs>
              <w:jc w:val="center"/>
              <w:rPr>
                <w:rFonts w:eastAsia="Arial" w:cs="Times New Roman"/>
                <w:b/>
                <w:color w:val="000000"/>
                <w:kern w:val="0"/>
                <w:lang w:eastAsia="ru-RU"/>
              </w:rPr>
            </w:pPr>
            <w:r w:rsidRPr="00614090">
              <w:rPr>
                <w:rFonts w:eastAsia="Arial" w:cs="Times New Roman"/>
                <w:b/>
                <w:color w:val="000000"/>
                <w:kern w:val="0"/>
                <w:lang w:eastAsia="ru-RU"/>
              </w:rPr>
              <w:t>Двигун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D2E72DF"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09FB2CA4" w14:textId="77777777" w:rsidTr="00990DC3">
        <w:tc>
          <w:tcPr>
            <w:tcW w:w="851" w:type="dxa"/>
            <w:tcBorders>
              <w:top w:val="single" w:sz="4" w:space="0" w:color="000000"/>
              <w:left w:val="single" w:sz="4" w:space="0" w:color="000000"/>
              <w:bottom w:val="single" w:sz="4" w:space="0" w:color="000000"/>
            </w:tcBorders>
            <w:shd w:val="clear" w:color="auto" w:fill="auto"/>
          </w:tcPr>
          <w:p w14:paraId="05DECA9C"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F0F8129" w14:textId="3C9684DC"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color w:val="000000"/>
                <w:kern w:val="0"/>
              </w:rPr>
              <w:t xml:space="preserve">Тип двигуна – дизельний, рядний, 6-ти циліндровий, </w:t>
            </w:r>
            <w:r w:rsidR="004414FE" w:rsidRPr="00614090">
              <w:rPr>
                <w:rFonts w:eastAsia="Calibri" w:cs="Times New Roman"/>
                <w:color w:val="000000"/>
                <w:kern w:val="0"/>
              </w:rPr>
              <w:t>чотирьохактний</w:t>
            </w:r>
            <w:r w:rsidRPr="00614090">
              <w:rPr>
                <w:rFonts w:eastAsia="Calibri" w:cs="Times New Roman"/>
                <w:color w:val="000000"/>
                <w:kern w:val="0"/>
              </w:rPr>
              <w:t xml:space="preserve">, з водяним охолодженням, прямим впорскуванням палива та </w:t>
            </w:r>
            <w:r w:rsidR="003F6BB3" w:rsidRPr="00614090">
              <w:rPr>
                <w:rFonts w:eastAsia="Calibri" w:cs="Times New Roman"/>
                <w:color w:val="000000"/>
                <w:kern w:val="0"/>
              </w:rPr>
              <w:t>турбо наддувом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DAEE78"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4AFCC8A9" w14:textId="77777777" w:rsidTr="00990DC3">
        <w:tc>
          <w:tcPr>
            <w:tcW w:w="851" w:type="dxa"/>
            <w:tcBorders>
              <w:top w:val="single" w:sz="4" w:space="0" w:color="000000"/>
              <w:left w:val="single" w:sz="4" w:space="0" w:color="000000"/>
              <w:bottom w:val="single" w:sz="4" w:space="0" w:color="000000"/>
            </w:tcBorders>
            <w:shd w:val="clear" w:color="auto" w:fill="auto"/>
          </w:tcPr>
          <w:p w14:paraId="03EC4827"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A98B8F7" w14:textId="3F797F1A"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color w:val="000000"/>
                <w:kern w:val="0"/>
              </w:rPr>
              <w:t xml:space="preserve">Номінальна потужність двигуна, не </w:t>
            </w:r>
            <w:r w:rsidR="003F6BB3" w:rsidRPr="00614090">
              <w:rPr>
                <w:rFonts w:eastAsia="Calibri" w:cs="Times New Roman"/>
                <w:color w:val="000000"/>
                <w:kern w:val="0"/>
              </w:rPr>
              <w:t>менше</w:t>
            </w:r>
            <w:r w:rsidRPr="00614090">
              <w:rPr>
                <w:rFonts w:eastAsia="Calibri" w:cs="Times New Roman"/>
                <w:color w:val="000000"/>
                <w:kern w:val="0"/>
              </w:rPr>
              <w:t xml:space="preserve">  – </w:t>
            </w:r>
            <w:r w:rsidRPr="00614090">
              <w:rPr>
                <w:rFonts w:eastAsia="Calibri" w:cs="Times New Roman"/>
                <w:kern w:val="0"/>
              </w:rPr>
              <w:t>131 кВт (178 к.с.)</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FCA96E"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4A2CEE53" w14:textId="77777777" w:rsidTr="00990DC3">
        <w:tc>
          <w:tcPr>
            <w:tcW w:w="851" w:type="dxa"/>
            <w:tcBorders>
              <w:top w:val="single" w:sz="4" w:space="0" w:color="000000"/>
              <w:left w:val="single" w:sz="4" w:space="0" w:color="000000"/>
              <w:bottom w:val="single" w:sz="4" w:space="0" w:color="000000"/>
            </w:tcBorders>
            <w:shd w:val="clear" w:color="auto" w:fill="auto"/>
          </w:tcPr>
          <w:p w14:paraId="5EAAE438"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D02169A" w14:textId="77777777" w:rsidR="004662FE" w:rsidRPr="00614090" w:rsidRDefault="004662FE" w:rsidP="00990DC3">
            <w:pPr>
              <w:spacing w:line="240" w:lineRule="atLeast"/>
              <w:outlineLvl w:val="0"/>
              <w:rPr>
                <w:rFonts w:eastAsia="Calibri" w:cs="Times New Roman"/>
                <w:color w:val="000000"/>
                <w:kern w:val="0"/>
              </w:rPr>
            </w:pPr>
            <w:r w:rsidRPr="00614090">
              <w:rPr>
                <w:rFonts w:eastAsia="Calibri" w:cs="Times New Roman"/>
                <w:color w:val="000000"/>
                <w:kern w:val="0"/>
              </w:rPr>
              <w:t>Номінальна частота обертання, не менше – 1850 об/хв.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29FF1E"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340047F3" w14:textId="77777777" w:rsidTr="00990DC3">
        <w:tc>
          <w:tcPr>
            <w:tcW w:w="851" w:type="dxa"/>
            <w:tcBorders>
              <w:top w:val="single" w:sz="4" w:space="0" w:color="000000"/>
              <w:left w:val="single" w:sz="4" w:space="0" w:color="000000"/>
              <w:bottom w:val="single" w:sz="4" w:space="0" w:color="000000"/>
            </w:tcBorders>
            <w:shd w:val="clear" w:color="auto" w:fill="auto"/>
          </w:tcPr>
          <w:p w14:paraId="38BFCA7B"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0C7B2D7" w14:textId="77777777"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color w:val="000000"/>
                <w:kern w:val="0"/>
              </w:rPr>
              <w:t xml:space="preserve">Робочий об’єм двигуна, не менше – </w:t>
            </w:r>
            <w:r w:rsidRPr="00614090">
              <w:rPr>
                <w:rFonts w:eastAsia="Calibri" w:cs="Times New Roman"/>
                <w:kern w:val="0"/>
              </w:rPr>
              <w:t>9,7л</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24B9FE"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3F6BB3" w:rsidRPr="00614090" w14:paraId="7A3C5ED6" w14:textId="77777777" w:rsidTr="00990DC3">
        <w:tc>
          <w:tcPr>
            <w:tcW w:w="851" w:type="dxa"/>
            <w:tcBorders>
              <w:top w:val="single" w:sz="4" w:space="0" w:color="000000"/>
              <w:left w:val="single" w:sz="4" w:space="0" w:color="000000"/>
              <w:bottom w:val="single" w:sz="4" w:space="0" w:color="000000"/>
            </w:tcBorders>
            <w:shd w:val="clear" w:color="auto" w:fill="auto"/>
          </w:tcPr>
          <w:p w14:paraId="10A116B2" w14:textId="77777777" w:rsidR="003F6BB3" w:rsidRPr="00614090" w:rsidRDefault="003F6BB3"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0EF07705" w14:textId="5B49DB86" w:rsidR="003F6BB3" w:rsidRPr="00614090" w:rsidRDefault="003F6BB3" w:rsidP="00990DC3">
            <w:pPr>
              <w:spacing w:line="240" w:lineRule="atLeast"/>
              <w:outlineLvl w:val="0"/>
              <w:rPr>
                <w:rFonts w:eastAsia="Calibri" w:cs="Times New Roman"/>
                <w:color w:val="000000"/>
                <w:kern w:val="0"/>
              </w:rPr>
            </w:pPr>
            <w:r w:rsidRPr="00614090">
              <w:rPr>
                <w:rFonts w:eastAsia="Times New Roman" w:cs="Times New Roman"/>
                <w:lang w:eastAsia="ru-RU"/>
              </w:rPr>
              <w:t>Мінімальна витрата палива, не більше 214(г/кВт.г)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A12B1D1" w14:textId="77777777" w:rsidR="003F6BB3" w:rsidRPr="00614090" w:rsidRDefault="003F6BB3" w:rsidP="00990DC3">
            <w:pPr>
              <w:tabs>
                <w:tab w:val="left" w:pos="1560"/>
              </w:tabs>
              <w:spacing w:line="276" w:lineRule="auto"/>
              <w:ind w:firstLine="709"/>
              <w:jc w:val="both"/>
              <w:rPr>
                <w:rFonts w:eastAsia="Arial" w:cs="Times New Roman"/>
                <w:kern w:val="0"/>
                <w:lang w:eastAsia="ru-RU"/>
              </w:rPr>
            </w:pPr>
          </w:p>
        </w:tc>
      </w:tr>
      <w:tr w:rsidR="004662FE" w:rsidRPr="00614090" w14:paraId="677CE079" w14:textId="77777777" w:rsidTr="00990DC3">
        <w:tc>
          <w:tcPr>
            <w:tcW w:w="851" w:type="dxa"/>
            <w:tcBorders>
              <w:top w:val="single" w:sz="4" w:space="0" w:color="000000"/>
              <w:left w:val="single" w:sz="4" w:space="0" w:color="000000"/>
              <w:bottom w:val="single" w:sz="4" w:space="0" w:color="000000"/>
            </w:tcBorders>
            <w:shd w:val="clear" w:color="auto" w:fill="auto"/>
          </w:tcPr>
          <w:p w14:paraId="09D506BA"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C6FD20E" w14:textId="77777777" w:rsidR="004662FE" w:rsidRPr="00614090" w:rsidRDefault="004662FE" w:rsidP="00990DC3">
            <w:pPr>
              <w:spacing w:line="240" w:lineRule="atLeast"/>
              <w:outlineLvl w:val="0"/>
              <w:rPr>
                <w:rFonts w:eastAsia="Calibri" w:cs="Times New Roman"/>
                <w:color w:val="000000"/>
                <w:kern w:val="0"/>
              </w:rPr>
            </w:pPr>
            <w:r w:rsidRPr="00614090">
              <w:rPr>
                <w:rFonts w:eastAsia="Calibri" w:cs="Times New Roman"/>
                <w:color w:val="000000"/>
                <w:kern w:val="0"/>
              </w:rPr>
              <w:t>Модель двигуна – WD10G178E25 (або еквівалент)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DA3DAC"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6E39057A" w14:textId="77777777" w:rsidTr="00990DC3">
        <w:tc>
          <w:tcPr>
            <w:tcW w:w="851" w:type="dxa"/>
            <w:tcBorders>
              <w:top w:val="single" w:sz="4" w:space="0" w:color="000000"/>
              <w:left w:val="single" w:sz="4" w:space="0" w:color="000000"/>
              <w:bottom w:val="single" w:sz="4" w:space="0" w:color="000000"/>
            </w:tcBorders>
            <w:shd w:val="clear" w:color="auto" w:fill="auto"/>
          </w:tcPr>
          <w:p w14:paraId="3CBC7EDD" w14:textId="77777777" w:rsidR="004662FE" w:rsidRPr="00614090" w:rsidRDefault="004662FE" w:rsidP="00990DC3">
            <w:pPr>
              <w:jc w:val="center"/>
              <w:outlineLvl w:val="0"/>
              <w:rPr>
                <w:rFonts w:eastAsia="Times New Roman" w:cs="Times New Roman"/>
                <w:b/>
                <w:kern w:val="0"/>
                <w:lang w:eastAsia="ru-RU"/>
              </w:rPr>
            </w:pPr>
            <w:r w:rsidRPr="00614090">
              <w:rPr>
                <w:rFonts w:eastAsia="Times New Roman" w:cs="Times New Roman"/>
                <w:b/>
                <w:kern w:val="0"/>
                <w:lang w:eastAsia="ru-RU"/>
              </w:rPr>
              <w:t>2.3</w:t>
            </w:r>
          </w:p>
        </w:tc>
        <w:tc>
          <w:tcPr>
            <w:tcW w:w="6804" w:type="dxa"/>
            <w:tcBorders>
              <w:top w:val="single" w:sz="4" w:space="0" w:color="000000"/>
              <w:left w:val="single" w:sz="4" w:space="0" w:color="000000"/>
              <w:bottom w:val="single" w:sz="4" w:space="0" w:color="000000"/>
            </w:tcBorders>
            <w:shd w:val="clear" w:color="auto" w:fill="auto"/>
          </w:tcPr>
          <w:p w14:paraId="265BB642" w14:textId="77777777" w:rsidR="004662FE" w:rsidRPr="00614090" w:rsidRDefault="004662FE" w:rsidP="00990DC3">
            <w:pPr>
              <w:jc w:val="center"/>
              <w:outlineLvl w:val="0"/>
              <w:rPr>
                <w:rFonts w:eastAsia="Times New Roman" w:cs="Times New Roman"/>
                <w:b/>
                <w:kern w:val="0"/>
                <w:lang w:eastAsia="ru-RU"/>
              </w:rPr>
            </w:pPr>
            <w:r w:rsidRPr="00614090">
              <w:rPr>
                <w:rFonts w:eastAsia="Times New Roman" w:cs="Times New Roman"/>
                <w:b/>
                <w:kern w:val="0"/>
                <w:lang w:eastAsia="ru-RU"/>
              </w:rPr>
              <w:t>Ходова система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76BD0E1"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2EA63332" w14:textId="77777777" w:rsidTr="00990DC3">
        <w:tc>
          <w:tcPr>
            <w:tcW w:w="851" w:type="dxa"/>
            <w:tcBorders>
              <w:top w:val="single" w:sz="4" w:space="0" w:color="000000"/>
              <w:left w:val="single" w:sz="4" w:space="0" w:color="000000"/>
              <w:bottom w:val="single" w:sz="4" w:space="0" w:color="000000"/>
            </w:tcBorders>
            <w:shd w:val="clear" w:color="auto" w:fill="auto"/>
          </w:tcPr>
          <w:p w14:paraId="1C940CF0"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76C11126" w14:textId="77777777"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 xml:space="preserve">Тип гусеничної системи – бульдозер повинен бути оснащений </w:t>
            </w:r>
            <w:r w:rsidRPr="00614090">
              <w:rPr>
                <w:rFonts w:eastAsia="Calibri" w:cs="Times New Roman"/>
                <w:kern w:val="0"/>
              </w:rPr>
              <w:lastRenderedPageBreak/>
              <w:t>гусеничною ходовою системою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BBE752"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65039335" w14:textId="77777777" w:rsidTr="00990DC3">
        <w:tc>
          <w:tcPr>
            <w:tcW w:w="851" w:type="dxa"/>
            <w:tcBorders>
              <w:top w:val="single" w:sz="4" w:space="0" w:color="000000"/>
              <w:left w:val="single" w:sz="4" w:space="0" w:color="000000"/>
              <w:bottom w:val="single" w:sz="4" w:space="0" w:color="000000"/>
            </w:tcBorders>
            <w:shd w:val="clear" w:color="auto" w:fill="auto"/>
          </w:tcPr>
          <w:p w14:paraId="3906C90D"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45BC0ED" w14:textId="4AB9A421"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 xml:space="preserve">Ширина гусеничних траків, не менше – </w:t>
            </w:r>
            <w:r w:rsidR="003F6BB3" w:rsidRPr="00614090">
              <w:rPr>
                <w:rFonts w:eastAsia="Calibri" w:cs="Times New Roman"/>
                <w:kern w:val="0"/>
              </w:rPr>
              <w:t>510</w:t>
            </w:r>
            <w:r w:rsidRPr="00614090">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F052FB1"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66E0DD04" w14:textId="77777777" w:rsidTr="00990DC3">
        <w:tc>
          <w:tcPr>
            <w:tcW w:w="851" w:type="dxa"/>
            <w:tcBorders>
              <w:top w:val="single" w:sz="4" w:space="0" w:color="000000"/>
              <w:left w:val="single" w:sz="4" w:space="0" w:color="000000"/>
              <w:bottom w:val="single" w:sz="4" w:space="0" w:color="000000"/>
            </w:tcBorders>
            <w:shd w:val="clear" w:color="auto" w:fill="auto"/>
          </w:tcPr>
          <w:p w14:paraId="55334666"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B209158" w14:textId="2D8C37CE"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 xml:space="preserve">Кількість опорних катків (на кожну сторону), не менше  – </w:t>
            </w:r>
            <w:r w:rsidR="003F6BB3" w:rsidRPr="00614090">
              <w:rPr>
                <w:rFonts w:eastAsia="Calibri" w:cs="Times New Roman"/>
                <w:kern w:val="0"/>
              </w:rPr>
              <w:t>6</w:t>
            </w:r>
            <w:r w:rsidRPr="00614090">
              <w:rPr>
                <w:rFonts w:eastAsia="Calibri" w:cs="Times New Roman"/>
                <w:kern w:val="0"/>
              </w:rPr>
              <w:t xml:space="preserve">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74B217"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7D30BF88" w14:textId="77777777" w:rsidTr="00990DC3">
        <w:tc>
          <w:tcPr>
            <w:tcW w:w="851" w:type="dxa"/>
            <w:tcBorders>
              <w:top w:val="single" w:sz="4" w:space="0" w:color="000000"/>
              <w:left w:val="single" w:sz="4" w:space="0" w:color="000000"/>
              <w:bottom w:val="single" w:sz="4" w:space="0" w:color="000000"/>
            </w:tcBorders>
            <w:shd w:val="clear" w:color="auto" w:fill="auto"/>
          </w:tcPr>
          <w:p w14:paraId="5B8BD94A"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F1BC8DF" w14:textId="77777777"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Кількість підтримуючих катків (на кожну сторону), не менше – 2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7F5D673"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414FE" w:rsidRPr="00614090" w14:paraId="0B2A32BA" w14:textId="77777777" w:rsidTr="00AF1613">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Pr>
          <w:p w14:paraId="2574C159" w14:textId="1656A108" w:rsidR="004414FE" w:rsidRPr="00614090" w:rsidRDefault="004414FE" w:rsidP="004414FE">
            <w:pPr>
              <w:tabs>
                <w:tab w:val="left" w:pos="1560"/>
              </w:tabs>
              <w:spacing w:line="276" w:lineRule="auto"/>
              <w:ind w:firstLine="709"/>
              <w:jc w:val="center"/>
              <w:rPr>
                <w:rFonts w:eastAsia="Arial" w:cs="Times New Roman"/>
                <w:b/>
                <w:kern w:val="0"/>
                <w:lang w:eastAsia="ru-RU"/>
              </w:rPr>
            </w:pPr>
            <w:r w:rsidRPr="00614090">
              <w:rPr>
                <w:rFonts w:eastAsia="Calibri" w:cs="Times New Roman"/>
                <w:b/>
                <w:kern w:val="0"/>
              </w:rPr>
              <w:t>Гідравлічна система робочої установки</w:t>
            </w:r>
          </w:p>
        </w:tc>
      </w:tr>
      <w:tr w:rsidR="00487F75" w:rsidRPr="00614090" w14:paraId="7AA10A5C" w14:textId="77777777" w:rsidTr="00990DC3">
        <w:tc>
          <w:tcPr>
            <w:tcW w:w="851" w:type="dxa"/>
            <w:tcBorders>
              <w:top w:val="single" w:sz="4" w:space="0" w:color="000000"/>
              <w:left w:val="single" w:sz="4" w:space="0" w:color="000000"/>
              <w:bottom w:val="single" w:sz="4" w:space="0" w:color="000000"/>
            </w:tcBorders>
            <w:shd w:val="clear" w:color="auto" w:fill="auto"/>
          </w:tcPr>
          <w:p w14:paraId="6CE8B04E" w14:textId="77777777" w:rsidR="00487F75" w:rsidRPr="00614090" w:rsidRDefault="00487F75"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5C09D04" w14:textId="18CA2693" w:rsidR="00487F75" w:rsidRPr="00614090" w:rsidRDefault="004414FE" w:rsidP="00990DC3">
            <w:pPr>
              <w:spacing w:line="240" w:lineRule="atLeast"/>
              <w:outlineLvl w:val="0"/>
              <w:rPr>
                <w:rFonts w:eastAsia="Calibri" w:cs="Times New Roman"/>
                <w:kern w:val="0"/>
              </w:rPr>
            </w:pPr>
            <w:r w:rsidRPr="00614090">
              <w:rPr>
                <w:rFonts w:eastAsia="Calibri" w:cs="Times New Roman"/>
                <w:kern w:val="0"/>
              </w:rPr>
              <w:t xml:space="preserve">Робочий тиск, </w:t>
            </w:r>
            <w:r w:rsidRPr="00614090">
              <w:rPr>
                <w:rFonts w:cs="Times New Roman"/>
                <w:lang w:eastAsia="ru-RU"/>
              </w:rPr>
              <w:t xml:space="preserve"> не більше 14 МПа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95485E2" w14:textId="77777777" w:rsidR="00487F75" w:rsidRPr="00614090" w:rsidRDefault="00487F75" w:rsidP="00990DC3">
            <w:pPr>
              <w:tabs>
                <w:tab w:val="left" w:pos="1560"/>
              </w:tabs>
              <w:spacing w:line="276" w:lineRule="auto"/>
              <w:ind w:firstLine="709"/>
              <w:jc w:val="both"/>
              <w:rPr>
                <w:rFonts w:eastAsia="Arial" w:cs="Times New Roman"/>
                <w:kern w:val="0"/>
                <w:lang w:eastAsia="ru-RU"/>
              </w:rPr>
            </w:pPr>
          </w:p>
        </w:tc>
      </w:tr>
      <w:tr w:rsidR="00487F75" w:rsidRPr="00614090" w14:paraId="233BF85B" w14:textId="77777777" w:rsidTr="00990DC3">
        <w:tc>
          <w:tcPr>
            <w:tcW w:w="851" w:type="dxa"/>
            <w:tcBorders>
              <w:top w:val="single" w:sz="4" w:space="0" w:color="000000"/>
              <w:left w:val="single" w:sz="4" w:space="0" w:color="000000"/>
              <w:bottom w:val="single" w:sz="4" w:space="0" w:color="000000"/>
            </w:tcBorders>
            <w:shd w:val="clear" w:color="auto" w:fill="auto"/>
          </w:tcPr>
          <w:p w14:paraId="0F1774C5" w14:textId="77777777" w:rsidR="00487F75" w:rsidRPr="00614090" w:rsidRDefault="00487F75"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1E75B19" w14:textId="3D9D9149" w:rsidR="00487F75" w:rsidRPr="00614090" w:rsidRDefault="004414FE" w:rsidP="00990DC3">
            <w:pPr>
              <w:spacing w:line="240" w:lineRule="atLeast"/>
              <w:outlineLvl w:val="0"/>
              <w:rPr>
                <w:rFonts w:eastAsia="Calibri" w:cs="Times New Roman"/>
                <w:kern w:val="0"/>
              </w:rPr>
            </w:pPr>
            <w:r w:rsidRPr="00614090">
              <w:rPr>
                <w:rFonts w:eastAsia="Calibri" w:cs="Times New Roman"/>
                <w:kern w:val="0"/>
              </w:rPr>
              <w:t>Продуктивність гідравлічного насосу, не менше 243 л/хв.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39E8407" w14:textId="77777777" w:rsidR="00487F75" w:rsidRPr="00614090" w:rsidRDefault="00487F75" w:rsidP="00990DC3">
            <w:pPr>
              <w:tabs>
                <w:tab w:val="left" w:pos="1560"/>
              </w:tabs>
              <w:spacing w:line="276" w:lineRule="auto"/>
              <w:ind w:firstLine="709"/>
              <w:jc w:val="both"/>
              <w:rPr>
                <w:rFonts w:eastAsia="Arial" w:cs="Times New Roman"/>
                <w:kern w:val="0"/>
                <w:lang w:eastAsia="ru-RU"/>
              </w:rPr>
            </w:pPr>
          </w:p>
        </w:tc>
      </w:tr>
      <w:tr w:rsidR="000C7754" w:rsidRPr="00614090" w14:paraId="691244BF" w14:textId="77777777" w:rsidTr="00990DC3">
        <w:tc>
          <w:tcPr>
            <w:tcW w:w="851" w:type="dxa"/>
            <w:tcBorders>
              <w:top w:val="single" w:sz="4" w:space="0" w:color="000000"/>
              <w:left w:val="single" w:sz="4" w:space="0" w:color="000000"/>
              <w:bottom w:val="single" w:sz="4" w:space="0" w:color="000000"/>
            </w:tcBorders>
            <w:shd w:val="clear" w:color="auto" w:fill="auto"/>
          </w:tcPr>
          <w:p w14:paraId="28197A86" w14:textId="77777777" w:rsidR="000C7754" w:rsidRPr="00614090" w:rsidRDefault="000C7754"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747E1CA0" w14:textId="278426DC" w:rsidR="000C7754" w:rsidRPr="00614090" w:rsidRDefault="000C7754" w:rsidP="00990DC3">
            <w:pPr>
              <w:spacing w:line="240" w:lineRule="atLeast"/>
              <w:outlineLvl w:val="0"/>
              <w:rPr>
                <w:rFonts w:eastAsia="Calibri" w:cs="Times New Roman"/>
                <w:kern w:val="0"/>
              </w:rPr>
            </w:pPr>
            <w:r w:rsidRPr="00614090">
              <w:rPr>
                <w:rFonts w:eastAsia="Calibri" w:cs="Times New Roman"/>
                <w:kern w:val="0"/>
              </w:rPr>
              <w:t>Тип гідравлічного насос - шестеренчастий</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51D1DF0" w14:textId="77777777" w:rsidR="000C7754" w:rsidRPr="00614090" w:rsidRDefault="000C7754" w:rsidP="00990DC3">
            <w:pPr>
              <w:tabs>
                <w:tab w:val="left" w:pos="1560"/>
              </w:tabs>
              <w:spacing w:line="276" w:lineRule="auto"/>
              <w:ind w:firstLine="709"/>
              <w:jc w:val="both"/>
              <w:rPr>
                <w:rFonts w:eastAsia="Arial" w:cs="Times New Roman"/>
                <w:kern w:val="0"/>
                <w:lang w:eastAsia="ru-RU"/>
              </w:rPr>
            </w:pPr>
          </w:p>
        </w:tc>
      </w:tr>
      <w:tr w:rsidR="00487F75" w:rsidRPr="00614090" w14:paraId="04EBDA83" w14:textId="77777777" w:rsidTr="00990DC3">
        <w:tc>
          <w:tcPr>
            <w:tcW w:w="851" w:type="dxa"/>
            <w:tcBorders>
              <w:top w:val="single" w:sz="4" w:space="0" w:color="000000"/>
              <w:left w:val="single" w:sz="4" w:space="0" w:color="000000"/>
              <w:bottom w:val="single" w:sz="4" w:space="0" w:color="000000"/>
            </w:tcBorders>
            <w:shd w:val="clear" w:color="auto" w:fill="auto"/>
          </w:tcPr>
          <w:p w14:paraId="4EB37F9E" w14:textId="77777777" w:rsidR="00487F75" w:rsidRPr="00614090" w:rsidRDefault="00487F75"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733B1F4" w14:textId="77777777" w:rsidR="00487F75" w:rsidRPr="00614090" w:rsidRDefault="00487F75" w:rsidP="00990DC3">
            <w:pPr>
              <w:spacing w:line="240" w:lineRule="atLeast"/>
              <w:outlineLvl w:val="0"/>
              <w:rPr>
                <w:rFonts w:eastAsia="Calibri" w:cs="Times New Roman"/>
                <w:kern w:val="0"/>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53ECA82" w14:textId="77777777" w:rsidR="00487F75" w:rsidRPr="00614090" w:rsidRDefault="00487F75" w:rsidP="00990DC3">
            <w:pPr>
              <w:tabs>
                <w:tab w:val="left" w:pos="1560"/>
              </w:tabs>
              <w:spacing w:line="276" w:lineRule="auto"/>
              <w:ind w:firstLine="709"/>
              <w:jc w:val="both"/>
              <w:rPr>
                <w:rFonts w:eastAsia="Arial" w:cs="Times New Roman"/>
                <w:kern w:val="0"/>
                <w:lang w:eastAsia="ru-RU"/>
              </w:rPr>
            </w:pPr>
          </w:p>
        </w:tc>
      </w:tr>
      <w:tr w:rsidR="004662FE" w:rsidRPr="00614090" w14:paraId="79410194" w14:textId="77777777" w:rsidTr="00990DC3">
        <w:tc>
          <w:tcPr>
            <w:tcW w:w="851" w:type="dxa"/>
            <w:tcBorders>
              <w:top w:val="single" w:sz="4" w:space="0" w:color="000000"/>
              <w:left w:val="single" w:sz="4" w:space="0" w:color="000000"/>
              <w:bottom w:val="single" w:sz="4" w:space="0" w:color="000000"/>
            </w:tcBorders>
            <w:shd w:val="clear" w:color="auto" w:fill="auto"/>
          </w:tcPr>
          <w:p w14:paraId="5230C8BB" w14:textId="77777777" w:rsidR="004662FE" w:rsidRPr="00614090" w:rsidRDefault="004662FE" w:rsidP="00990DC3">
            <w:pPr>
              <w:tabs>
                <w:tab w:val="left" w:pos="1560"/>
              </w:tabs>
              <w:spacing w:line="276" w:lineRule="auto"/>
              <w:jc w:val="center"/>
              <w:rPr>
                <w:rFonts w:eastAsia="Arial" w:cs="Times New Roman"/>
                <w:b/>
                <w:color w:val="000000"/>
                <w:kern w:val="0"/>
                <w:lang w:eastAsia="ru-RU"/>
              </w:rPr>
            </w:pPr>
            <w:r w:rsidRPr="00614090">
              <w:rPr>
                <w:rFonts w:eastAsia="Arial" w:cs="Times New Roman"/>
                <w:b/>
                <w:color w:val="000000"/>
                <w:kern w:val="0"/>
                <w:lang w:eastAsia="ru-RU"/>
              </w:rPr>
              <w:t>2.4</w:t>
            </w:r>
          </w:p>
        </w:tc>
        <w:tc>
          <w:tcPr>
            <w:tcW w:w="6804" w:type="dxa"/>
            <w:tcBorders>
              <w:top w:val="single" w:sz="4" w:space="0" w:color="000000"/>
              <w:left w:val="single" w:sz="4" w:space="0" w:color="000000"/>
              <w:bottom w:val="single" w:sz="4" w:space="0" w:color="000000"/>
            </w:tcBorders>
            <w:shd w:val="clear" w:color="auto" w:fill="auto"/>
          </w:tcPr>
          <w:p w14:paraId="34917F62" w14:textId="77777777" w:rsidR="004662FE" w:rsidRPr="00614090" w:rsidRDefault="004662FE" w:rsidP="00990DC3">
            <w:pPr>
              <w:tabs>
                <w:tab w:val="left" w:pos="1560"/>
              </w:tabs>
              <w:spacing w:line="276" w:lineRule="auto"/>
              <w:jc w:val="center"/>
              <w:rPr>
                <w:rFonts w:eastAsia="Arial" w:cs="Times New Roman"/>
                <w:b/>
                <w:color w:val="000000"/>
                <w:kern w:val="0"/>
                <w:lang w:eastAsia="ru-RU"/>
              </w:rPr>
            </w:pPr>
            <w:r w:rsidRPr="00614090">
              <w:rPr>
                <w:rFonts w:eastAsia="Arial" w:cs="Times New Roman"/>
                <w:b/>
                <w:color w:val="000000"/>
                <w:kern w:val="0"/>
                <w:lang w:eastAsia="ru-RU"/>
              </w:rPr>
              <w:t>Характеристики бульдозерного відвалу для згортання твердих побутових відходів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CD09716"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05241949" w14:textId="77777777" w:rsidTr="00990DC3">
        <w:tc>
          <w:tcPr>
            <w:tcW w:w="851" w:type="dxa"/>
            <w:tcBorders>
              <w:top w:val="single" w:sz="4" w:space="0" w:color="000000"/>
              <w:left w:val="single" w:sz="4" w:space="0" w:color="000000"/>
              <w:bottom w:val="single" w:sz="4" w:space="0" w:color="000000"/>
            </w:tcBorders>
            <w:shd w:val="clear" w:color="auto" w:fill="auto"/>
          </w:tcPr>
          <w:p w14:paraId="4DE67BC2"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E269805" w14:textId="59F02032"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 xml:space="preserve">Об’єм відвалу, не менше  – </w:t>
            </w:r>
            <w:r w:rsidR="003F6BB3" w:rsidRPr="00614090">
              <w:rPr>
                <w:rFonts w:eastAsia="Calibri" w:cs="Times New Roman"/>
                <w:kern w:val="0"/>
              </w:rPr>
              <w:t>6</w:t>
            </w:r>
            <w:r w:rsidRPr="00614090">
              <w:rPr>
                <w:rFonts w:eastAsia="Calibri" w:cs="Times New Roman"/>
                <w:kern w:val="0"/>
              </w:rPr>
              <w:t>,</w:t>
            </w:r>
            <w:r w:rsidR="003F6BB3" w:rsidRPr="00614090">
              <w:rPr>
                <w:rFonts w:eastAsia="Calibri" w:cs="Times New Roman"/>
                <w:kern w:val="0"/>
              </w:rPr>
              <w:t>5</w:t>
            </w:r>
            <w:r w:rsidRPr="00614090">
              <w:rPr>
                <w:rFonts w:eastAsia="Calibri" w:cs="Times New Roman"/>
                <w:kern w:val="0"/>
              </w:rPr>
              <w:t xml:space="preserve"> м³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A2C9CA"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114DFC5D" w14:textId="77777777" w:rsidTr="00990DC3">
        <w:tc>
          <w:tcPr>
            <w:tcW w:w="851" w:type="dxa"/>
            <w:tcBorders>
              <w:top w:val="single" w:sz="4" w:space="0" w:color="000000"/>
              <w:left w:val="single" w:sz="4" w:space="0" w:color="000000"/>
              <w:bottom w:val="single" w:sz="4" w:space="0" w:color="000000"/>
            </w:tcBorders>
            <w:shd w:val="clear" w:color="auto" w:fill="auto"/>
          </w:tcPr>
          <w:p w14:paraId="54EAC342"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D51AE97" w14:textId="7F7F2403"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 xml:space="preserve">Ширина відвалу, не менше  – </w:t>
            </w:r>
            <w:r w:rsidR="00480BF9" w:rsidRPr="00614090">
              <w:rPr>
                <w:rFonts w:eastAsia="Calibri" w:cs="Times New Roman"/>
                <w:kern w:val="0"/>
              </w:rPr>
              <w:t>340</w:t>
            </w:r>
            <w:r w:rsidR="00B50216" w:rsidRPr="00614090">
              <w:rPr>
                <w:rFonts w:eastAsia="Calibri" w:cs="Times New Roman"/>
                <w:kern w:val="0"/>
              </w:rPr>
              <w:t>0</w:t>
            </w:r>
            <w:r w:rsidRPr="00614090">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1A3BB1C"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422E75A9" w14:textId="77777777" w:rsidTr="00990DC3">
        <w:tc>
          <w:tcPr>
            <w:tcW w:w="851" w:type="dxa"/>
            <w:tcBorders>
              <w:top w:val="single" w:sz="4" w:space="0" w:color="000000"/>
              <w:left w:val="single" w:sz="4" w:space="0" w:color="000000"/>
              <w:bottom w:val="single" w:sz="4" w:space="0" w:color="000000"/>
            </w:tcBorders>
            <w:shd w:val="clear" w:color="auto" w:fill="auto"/>
          </w:tcPr>
          <w:p w14:paraId="77D7316E"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5904B44" w14:textId="2DFFC662"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Висота відвалу, не менше – 1</w:t>
            </w:r>
            <w:r w:rsidR="00CF22F6" w:rsidRPr="00614090">
              <w:rPr>
                <w:rFonts w:eastAsia="Calibri" w:cs="Times New Roman"/>
                <w:kern w:val="0"/>
              </w:rPr>
              <w:t>780</w:t>
            </w:r>
            <w:r w:rsidRPr="00614090">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BA41E62"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3BD99494" w14:textId="77777777" w:rsidTr="00990DC3">
        <w:tc>
          <w:tcPr>
            <w:tcW w:w="851" w:type="dxa"/>
            <w:tcBorders>
              <w:top w:val="single" w:sz="4" w:space="0" w:color="000000"/>
              <w:left w:val="single" w:sz="4" w:space="0" w:color="000000"/>
              <w:bottom w:val="single" w:sz="4" w:space="0" w:color="000000"/>
            </w:tcBorders>
            <w:shd w:val="clear" w:color="auto" w:fill="auto"/>
          </w:tcPr>
          <w:p w14:paraId="0B64A8FE"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FB3CE86" w14:textId="6A538051"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Максимальне заглиблення відвалу, не менше  – 5</w:t>
            </w:r>
            <w:r w:rsidR="00CF22F6" w:rsidRPr="00614090">
              <w:rPr>
                <w:rFonts w:eastAsia="Calibri" w:cs="Times New Roman"/>
                <w:kern w:val="0"/>
              </w:rPr>
              <w:t>4</w:t>
            </w:r>
            <w:r w:rsidRPr="00614090">
              <w:rPr>
                <w:rFonts w:eastAsia="Calibri" w:cs="Times New Roman"/>
                <w:kern w:val="0"/>
              </w:rPr>
              <w:t>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06B1A4"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0EADB3B7" w14:textId="77777777" w:rsidTr="00990DC3">
        <w:tc>
          <w:tcPr>
            <w:tcW w:w="851" w:type="dxa"/>
            <w:tcBorders>
              <w:top w:val="single" w:sz="4" w:space="0" w:color="000000"/>
              <w:left w:val="single" w:sz="4" w:space="0" w:color="000000"/>
              <w:bottom w:val="single" w:sz="4" w:space="0" w:color="000000"/>
            </w:tcBorders>
            <w:shd w:val="clear" w:color="auto" w:fill="auto"/>
          </w:tcPr>
          <w:p w14:paraId="2525CDDB"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657071A" w14:textId="19E36BAA" w:rsidR="004662FE" w:rsidRPr="00614090" w:rsidRDefault="004662FE" w:rsidP="00990DC3">
            <w:pPr>
              <w:spacing w:line="240" w:lineRule="atLeast"/>
              <w:outlineLvl w:val="0"/>
              <w:rPr>
                <w:rFonts w:eastAsia="Times New Roman" w:cs="Times New Roman"/>
                <w:kern w:val="0"/>
                <w:lang w:eastAsia="ru-RU"/>
              </w:rPr>
            </w:pPr>
            <w:r w:rsidRPr="00614090">
              <w:rPr>
                <w:rFonts w:eastAsia="Calibri" w:cs="Times New Roman"/>
                <w:kern w:val="0"/>
              </w:rPr>
              <w:t>Максимальна висота підйому відвалу над землею, не менше – 10</w:t>
            </w:r>
            <w:r w:rsidR="00610698" w:rsidRPr="00614090">
              <w:rPr>
                <w:rFonts w:eastAsia="Calibri" w:cs="Times New Roman"/>
                <w:kern w:val="0"/>
              </w:rPr>
              <w:t>9</w:t>
            </w:r>
            <w:r w:rsidRPr="00614090">
              <w:rPr>
                <w:rFonts w:eastAsia="Calibri" w:cs="Times New Roman"/>
                <w:kern w:val="0"/>
              </w:rPr>
              <w:t>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3B8414B"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7C34F9CF" w14:textId="77777777" w:rsidTr="00990DC3">
        <w:tc>
          <w:tcPr>
            <w:tcW w:w="851" w:type="dxa"/>
            <w:tcBorders>
              <w:top w:val="single" w:sz="4" w:space="0" w:color="000000"/>
              <w:left w:val="single" w:sz="4" w:space="0" w:color="000000"/>
              <w:bottom w:val="single" w:sz="4" w:space="0" w:color="000000"/>
            </w:tcBorders>
            <w:shd w:val="clear" w:color="auto" w:fill="auto"/>
          </w:tcPr>
          <w:p w14:paraId="38D42250" w14:textId="77777777" w:rsidR="004662FE" w:rsidRPr="00614090" w:rsidRDefault="004662FE" w:rsidP="00990DC3">
            <w:pPr>
              <w:tabs>
                <w:tab w:val="left" w:pos="1560"/>
              </w:tabs>
              <w:spacing w:line="276" w:lineRule="auto"/>
              <w:ind w:right="-156"/>
              <w:jc w:val="both"/>
              <w:rPr>
                <w:rFonts w:eastAsia="Arial" w:cs="Times New Roman"/>
                <w:kern w:val="0"/>
                <w:lang w:eastAsia="ru-RU"/>
              </w:rPr>
            </w:pPr>
            <w:r w:rsidRPr="00614090">
              <w:rPr>
                <w:rFonts w:eastAsia="Arial" w:cs="Times New Roman"/>
                <w:kern w:val="0"/>
                <w:lang w:eastAsia="ru-RU"/>
              </w:rPr>
              <w:t>3</w:t>
            </w:r>
          </w:p>
        </w:tc>
        <w:tc>
          <w:tcPr>
            <w:tcW w:w="6804" w:type="dxa"/>
            <w:tcBorders>
              <w:top w:val="single" w:sz="4" w:space="0" w:color="000000"/>
              <w:left w:val="single" w:sz="4" w:space="0" w:color="000000"/>
              <w:bottom w:val="single" w:sz="4" w:space="0" w:color="000000"/>
            </w:tcBorders>
            <w:shd w:val="clear" w:color="auto" w:fill="auto"/>
          </w:tcPr>
          <w:p w14:paraId="3D351EB2" w14:textId="77777777" w:rsidR="004662FE" w:rsidRPr="00614090" w:rsidRDefault="004662FE" w:rsidP="00990DC3">
            <w:pPr>
              <w:tabs>
                <w:tab w:val="left" w:pos="1560"/>
              </w:tabs>
              <w:spacing w:line="276" w:lineRule="auto"/>
              <w:jc w:val="both"/>
              <w:rPr>
                <w:rFonts w:eastAsia="Arial" w:cs="Times New Roman"/>
                <w:b/>
                <w:color w:val="000000"/>
                <w:kern w:val="0"/>
                <w:lang w:eastAsia="ru-RU"/>
              </w:rPr>
            </w:pPr>
            <w:r w:rsidRPr="00614090">
              <w:rPr>
                <w:rFonts w:eastAsia="Arial" w:cs="Times New Roman"/>
                <w:b/>
                <w:kern w:val="0"/>
                <w:lang w:eastAsia="ru-RU"/>
              </w:rPr>
              <w:t>Організаційні вимоги: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9E75F04"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73578329" w14:textId="77777777" w:rsidTr="00990DC3">
        <w:tc>
          <w:tcPr>
            <w:tcW w:w="851" w:type="dxa"/>
            <w:tcBorders>
              <w:top w:val="single" w:sz="4" w:space="0" w:color="000000"/>
              <w:left w:val="single" w:sz="4" w:space="0" w:color="000000"/>
              <w:bottom w:val="single" w:sz="4" w:space="0" w:color="000000"/>
            </w:tcBorders>
            <w:shd w:val="clear" w:color="auto" w:fill="auto"/>
          </w:tcPr>
          <w:p w14:paraId="176086D8"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6D21BDB2" w14:textId="50CC58C7" w:rsidR="004662FE" w:rsidRPr="00614090" w:rsidRDefault="004662FE" w:rsidP="00990DC3">
            <w:pPr>
              <w:tabs>
                <w:tab w:val="left" w:pos="1560"/>
              </w:tabs>
              <w:spacing w:line="276" w:lineRule="auto"/>
              <w:jc w:val="both"/>
              <w:rPr>
                <w:rFonts w:eastAsia="Times New Roman" w:cs="Times New Roman"/>
                <w:bCs/>
                <w:kern w:val="0"/>
                <w:lang w:eastAsia="ru-RU"/>
              </w:rPr>
            </w:pPr>
            <w:r w:rsidRPr="00614090">
              <w:rPr>
                <w:rFonts w:eastAsia="Calibri" w:cs="Times New Roman"/>
                <w:kern w:val="0"/>
              </w:rPr>
              <w:t>Учасник повинен забезпечити доставку (вартість включається у загальну вартість товару), передпродажну підготовку, введення товару в експлуатацію та навчання обслуговуючого персоналу на базі Замовника. Вартість всіх цих робіт (послуг) враховується в ціну Товару. Учасник надає лист у довільній формі, у якому він підтверджує всі вимоги цього пункту</w:t>
            </w:r>
            <w:r w:rsidR="00C5120E" w:rsidRPr="00614090">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2773C77"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5A2F73BF" w14:textId="77777777" w:rsidTr="00990DC3">
        <w:tc>
          <w:tcPr>
            <w:tcW w:w="851" w:type="dxa"/>
            <w:tcBorders>
              <w:top w:val="single" w:sz="4" w:space="0" w:color="000000"/>
              <w:left w:val="single" w:sz="4" w:space="0" w:color="000000"/>
              <w:bottom w:val="single" w:sz="4" w:space="0" w:color="000000"/>
            </w:tcBorders>
            <w:shd w:val="clear" w:color="auto" w:fill="auto"/>
          </w:tcPr>
          <w:p w14:paraId="44E91020"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C1C79F6" w14:textId="36CF5A2B" w:rsidR="004662FE" w:rsidRPr="00614090" w:rsidRDefault="004662FE" w:rsidP="00CA7E5C">
            <w:pPr>
              <w:tabs>
                <w:tab w:val="left" w:pos="1560"/>
              </w:tabs>
              <w:spacing w:line="276" w:lineRule="auto"/>
              <w:jc w:val="both"/>
              <w:rPr>
                <w:rFonts w:eastAsia="Times New Roman" w:cs="Times New Roman"/>
                <w:bCs/>
                <w:kern w:val="0"/>
                <w:lang w:eastAsia="ru-RU"/>
              </w:rPr>
            </w:pPr>
            <w:r w:rsidRPr="00614090">
              <w:rPr>
                <w:rFonts w:eastAsia="Calibri" w:cs="Times New Roman"/>
                <w:kern w:val="0"/>
              </w:rPr>
              <w:t xml:space="preserve">Учасник повинен надати у складі пропозиції документ, що підтверджує повноваження учасника торгів на реалізацію продукції від імені виробника (учасник надає оригінал або завірену копію листа від виробника (дилера/офіційного представника в Україні) чи сертифікат </w:t>
            </w:r>
            <w:r w:rsidRPr="00614090">
              <w:rPr>
                <w:rFonts w:eastAsia="Calibri" w:cs="Times New Roman"/>
                <w:bCs/>
                <w:kern w:val="0"/>
                <w:shd w:val="clear" w:color="auto" w:fill="FFFFFF"/>
                <w:lang w:eastAsia="uk-UA"/>
              </w:rPr>
              <w:t>дилера/дистриб’ютора</w:t>
            </w:r>
            <w:r w:rsidRPr="00614090">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B7FA025"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5DBB3A22" w14:textId="77777777" w:rsidTr="00990DC3">
        <w:tc>
          <w:tcPr>
            <w:tcW w:w="851" w:type="dxa"/>
            <w:tcBorders>
              <w:top w:val="single" w:sz="4" w:space="0" w:color="000000"/>
              <w:left w:val="single" w:sz="4" w:space="0" w:color="000000"/>
              <w:bottom w:val="single" w:sz="4" w:space="0" w:color="000000"/>
            </w:tcBorders>
            <w:shd w:val="clear" w:color="auto" w:fill="auto"/>
          </w:tcPr>
          <w:p w14:paraId="69784B17"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6E58FFD" w14:textId="77777777" w:rsidR="004662FE" w:rsidRPr="00614090" w:rsidRDefault="004662FE" w:rsidP="00990DC3">
            <w:pPr>
              <w:tabs>
                <w:tab w:val="left" w:pos="1560"/>
              </w:tabs>
              <w:spacing w:line="276" w:lineRule="auto"/>
              <w:jc w:val="both"/>
              <w:rPr>
                <w:rFonts w:eastAsia="Calibri" w:cs="Times New Roman"/>
                <w:kern w:val="0"/>
              </w:rPr>
            </w:pPr>
            <w:r w:rsidRPr="00614090">
              <w:rPr>
                <w:rFonts w:eastAsia="Calibri" w:cs="Times New Roman"/>
                <w:kern w:val="0"/>
              </w:rPr>
              <w:t>Учасник або імпортер забезпечує здійснення технічного нагляду, гарантійного та сервісного обслуговування Товару протягом гарантійного терміну експлуатації. Учасник або імпортер повинен мати склад запасних частин для забезпечення їх швидкої заміни.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D1C68E"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0ACC9A38" w14:textId="77777777" w:rsidTr="00990DC3">
        <w:tc>
          <w:tcPr>
            <w:tcW w:w="851" w:type="dxa"/>
            <w:tcBorders>
              <w:top w:val="single" w:sz="4" w:space="0" w:color="000000"/>
              <w:left w:val="single" w:sz="4" w:space="0" w:color="000000"/>
              <w:bottom w:val="single" w:sz="4" w:space="0" w:color="000000"/>
            </w:tcBorders>
            <w:shd w:val="clear" w:color="auto" w:fill="auto"/>
          </w:tcPr>
          <w:p w14:paraId="72B210A0"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434C801" w14:textId="74F0D530" w:rsidR="004662FE" w:rsidRPr="00614090" w:rsidRDefault="004662FE" w:rsidP="00990DC3">
            <w:pPr>
              <w:spacing w:line="276" w:lineRule="auto"/>
              <w:jc w:val="both"/>
              <w:rPr>
                <w:rFonts w:eastAsia="Calibri" w:cs="Times New Roman"/>
                <w:kern w:val="0"/>
                <w:lang w:eastAsia="uk-UA"/>
              </w:rPr>
            </w:pPr>
            <w:r w:rsidRPr="00614090">
              <w:rPr>
                <w:rFonts w:eastAsia="Calibri" w:cs="Times New Roman"/>
                <w:kern w:val="0"/>
              </w:rPr>
              <w:t>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(надати гарантійний лист в довільній формі з вказанням адреси сервісного центру або наявності мобільної сервісної бригади)</w:t>
            </w:r>
            <w:r w:rsidR="00EF4FA5" w:rsidRPr="00614090">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E9AE32"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7B2332BA" w14:textId="77777777" w:rsidTr="00990DC3">
        <w:tc>
          <w:tcPr>
            <w:tcW w:w="851" w:type="dxa"/>
            <w:tcBorders>
              <w:top w:val="single" w:sz="4" w:space="0" w:color="000000"/>
              <w:left w:val="single" w:sz="4" w:space="0" w:color="000000"/>
              <w:bottom w:val="single" w:sz="4" w:space="0" w:color="000000"/>
            </w:tcBorders>
            <w:shd w:val="clear" w:color="auto" w:fill="auto"/>
          </w:tcPr>
          <w:p w14:paraId="664518F4"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3DB34D7" w14:textId="77777777" w:rsidR="004662FE" w:rsidRPr="00614090" w:rsidRDefault="004662FE" w:rsidP="00990DC3">
            <w:pPr>
              <w:spacing w:line="276" w:lineRule="auto"/>
              <w:jc w:val="both"/>
              <w:rPr>
                <w:rFonts w:eastAsia="Calibri" w:cs="Times New Roman"/>
                <w:kern w:val="0"/>
              </w:rPr>
            </w:pPr>
            <w:r w:rsidRPr="00614090">
              <w:rPr>
                <w:rFonts w:eastAsia="Calibri" w:cs="Times New Roman"/>
                <w:kern w:val="0"/>
              </w:rPr>
              <w:t xml:space="preserve">Поставка Товару повинна супроводжуватися наступними документами: </w:t>
            </w:r>
          </w:p>
          <w:p w14:paraId="0B86DAAD" w14:textId="77777777" w:rsidR="004662FE" w:rsidRPr="00614090" w:rsidRDefault="004662FE" w:rsidP="00990DC3">
            <w:pPr>
              <w:spacing w:line="276" w:lineRule="auto"/>
              <w:jc w:val="both"/>
              <w:rPr>
                <w:rFonts w:eastAsia="Calibri" w:cs="Times New Roman"/>
                <w:kern w:val="0"/>
              </w:rPr>
            </w:pPr>
            <w:r w:rsidRPr="00614090">
              <w:rPr>
                <w:rFonts w:eastAsia="Calibri" w:cs="Times New Roman"/>
                <w:kern w:val="0"/>
              </w:rPr>
              <w:t>- технiчною документацiєю (Iнструкцiєю по експлуатацiї);</w:t>
            </w:r>
          </w:p>
          <w:p w14:paraId="4F7FC5A9" w14:textId="77777777" w:rsidR="004662FE" w:rsidRPr="00614090" w:rsidRDefault="004662FE" w:rsidP="00990DC3">
            <w:pPr>
              <w:spacing w:line="276" w:lineRule="auto"/>
              <w:jc w:val="both"/>
              <w:rPr>
                <w:rFonts w:eastAsia="Calibri" w:cs="Times New Roman"/>
                <w:kern w:val="0"/>
              </w:rPr>
            </w:pPr>
            <w:r w:rsidRPr="00614090">
              <w:rPr>
                <w:rFonts w:eastAsia="Calibri" w:cs="Times New Roman"/>
                <w:kern w:val="0"/>
              </w:rPr>
              <w:t xml:space="preserve">- технічним паспортом; </w:t>
            </w:r>
          </w:p>
          <w:p w14:paraId="73CEC1AD" w14:textId="77777777" w:rsidR="004662FE" w:rsidRPr="00614090" w:rsidRDefault="004662FE" w:rsidP="00990DC3">
            <w:pPr>
              <w:spacing w:line="276" w:lineRule="auto"/>
              <w:jc w:val="both"/>
              <w:rPr>
                <w:rFonts w:eastAsia="Calibri" w:cs="Times New Roman"/>
                <w:kern w:val="0"/>
              </w:rPr>
            </w:pPr>
            <w:r w:rsidRPr="00614090">
              <w:rPr>
                <w:rFonts w:eastAsia="Calibri" w:cs="Times New Roman"/>
                <w:kern w:val="0"/>
              </w:rPr>
              <w:t xml:space="preserve">- документами для peєстрації в уповноваженому органi; </w:t>
            </w:r>
          </w:p>
          <w:p w14:paraId="5DE90F85" w14:textId="77777777" w:rsidR="004662FE" w:rsidRPr="00614090" w:rsidRDefault="004662FE" w:rsidP="00990DC3">
            <w:pPr>
              <w:spacing w:line="276" w:lineRule="auto"/>
              <w:jc w:val="both"/>
              <w:rPr>
                <w:rFonts w:eastAsia="Calibri" w:cs="Times New Roman"/>
                <w:kern w:val="0"/>
              </w:rPr>
            </w:pPr>
            <w:r w:rsidRPr="00614090">
              <w:rPr>
                <w:rFonts w:eastAsia="Calibri" w:cs="Times New Roman"/>
                <w:kern w:val="0"/>
              </w:rPr>
              <w:t xml:space="preserve">- </w:t>
            </w:r>
            <w:r w:rsidRPr="00614090">
              <w:rPr>
                <w:rFonts w:eastAsia="Times New Roman" w:cs="Times New Roman"/>
                <w:kern w:val="0"/>
              </w:rPr>
              <w:t xml:space="preserve"> сертифікатом відповідності та декларацією про відповідність</w:t>
            </w:r>
            <w:r w:rsidRPr="00614090">
              <w:rPr>
                <w:rFonts w:eastAsia="Calibri" w:cs="Times New Roman"/>
                <w:kern w:val="0"/>
              </w:rPr>
              <w:t xml:space="preserve">; </w:t>
            </w:r>
          </w:p>
          <w:p w14:paraId="51053CF4" w14:textId="77777777" w:rsidR="004662FE" w:rsidRPr="00614090" w:rsidRDefault="004662FE" w:rsidP="00990DC3">
            <w:pPr>
              <w:spacing w:line="276" w:lineRule="auto"/>
              <w:jc w:val="both"/>
              <w:rPr>
                <w:rFonts w:eastAsia="Calibri" w:cs="Times New Roman"/>
                <w:kern w:val="0"/>
              </w:rPr>
            </w:pPr>
            <w:r w:rsidRPr="00614090">
              <w:rPr>
                <w:rFonts w:eastAsia="Calibri" w:cs="Times New Roman"/>
                <w:kern w:val="0"/>
              </w:rPr>
              <w:lastRenderedPageBreak/>
              <w:t>- видатковою накладною;</w:t>
            </w:r>
          </w:p>
          <w:p w14:paraId="110E74A9" w14:textId="1F915F99" w:rsidR="004662FE" w:rsidRPr="00614090" w:rsidRDefault="004662FE" w:rsidP="00990DC3">
            <w:pPr>
              <w:spacing w:line="276" w:lineRule="auto"/>
              <w:jc w:val="both"/>
              <w:rPr>
                <w:rFonts w:eastAsia="Calibri" w:cs="Times New Roman"/>
                <w:kern w:val="0"/>
              </w:rPr>
            </w:pPr>
            <w:r w:rsidRPr="00614090">
              <w:rPr>
                <w:rFonts w:eastAsia="Calibri" w:cs="Times New Roman"/>
                <w:kern w:val="0"/>
              </w:rPr>
              <w:t>- актом приймання-передачi</w:t>
            </w:r>
            <w:r w:rsidR="00A82AE8" w:rsidRPr="00614090">
              <w:rPr>
                <w:rFonts w:eastAsia="Calibri" w:cs="Times New Roman"/>
                <w:kern w:val="0"/>
              </w:rPr>
              <w:t>;</w:t>
            </w:r>
          </w:p>
          <w:p w14:paraId="729E283F" w14:textId="6C150B7A" w:rsidR="004662FE" w:rsidRPr="00614090" w:rsidRDefault="004662FE" w:rsidP="00990DC3">
            <w:pPr>
              <w:spacing w:line="276" w:lineRule="auto"/>
              <w:jc w:val="both"/>
              <w:rPr>
                <w:rFonts w:eastAsia="Calibri" w:cs="Times New Roman"/>
                <w:kern w:val="0"/>
              </w:rPr>
            </w:pPr>
            <w:r w:rsidRPr="00614090">
              <w:rPr>
                <w:rFonts w:eastAsia="Calibri" w:cs="Times New Roman"/>
                <w:kern w:val="0"/>
              </w:rPr>
              <w:t xml:space="preserve">- </w:t>
            </w:r>
            <w:bookmarkStart w:id="0" w:name="_Hlk148091448"/>
            <w:r w:rsidRPr="00614090">
              <w:rPr>
                <w:rFonts w:eastAsia="Calibri" w:cs="Times New Roman"/>
                <w:kern w:val="0"/>
              </w:rPr>
              <w:t>інші документи, що необхідні для реєстрації</w:t>
            </w:r>
            <w:bookmarkEnd w:id="0"/>
            <w:r w:rsidR="00A82AE8" w:rsidRPr="00614090">
              <w:rPr>
                <w:rFonts w:eastAsia="Calibri" w:cs="Times New Roman"/>
                <w:kern w:val="0"/>
              </w:rPr>
              <w:t>;</w:t>
            </w:r>
          </w:p>
          <w:p w14:paraId="387AE336" w14:textId="77777777" w:rsidR="004662FE" w:rsidRPr="00614090" w:rsidRDefault="004662FE" w:rsidP="00990DC3">
            <w:pPr>
              <w:spacing w:line="276" w:lineRule="auto"/>
              <w:jc w:val="both"/>
              <w:rPr>
                <w:rFonts w:eastAsia="Calibri" w:cs="Times New Roman"/>
                <w:kern w:val="0"/>
              </w:rPr>
            </w:pPr>
            <w:r w:rsidRPr="00614090">
              <w:rPr>
                <w:rFonts w:eastAsia="Calibri" w:cs="Times New Roman"/>
                <w:kern w:val="0"/>
              </w:rPr>
              <w:t>На підтвердження вимог цього пункту учасник надає у складі пропозиції відповідний гарантійний лист.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D6B5EDD"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2A2C8B31" w14:textId="77777777" w:rsidTr="00990DC3">
        <w:tc>
          <w:tcPr>
            <w:tcW w:w="851" w:type="dxa"/>
            <w:tcBorders>
              <w:top w:val="single" w:sz="4" w:space="0" w:color="000000"/>
              <w:left w:val="single" w:sz="4" w:space="0" w:color="000000"/>
              <w:bottom w:val="single" w:sz="4" w:space="0" w:color="000000"/>
            </w:tcBorders>
            <w:shd w:val="clear" w:color="auto" w:fill="auto"/>
          </w:tcPr>
          <w:p w14:paraId="105DFFBC"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1289403" w14:textId="5456BB36" w:rsidR="004662FE" w:rsidRPr="00614090" w:rsidRDefault="004662FE" w:rsidP="00990DC3">
            <w:pPr>
              <w:spacing w:line="276" w:lineRule="auto"/>
              <w:jc w:val="both"/>
              <w:rPr>
                <w:rFonts w:eastAsia="Calibri" w:cs="Times New Roman"/>
                <w:kern w:val="0"/>
                <w:lang w:eastAsia="uk-UA"/>
              </w:rPr>
            </w:pPr>
            <w:r w:rsidRPr="00614090">
              <w:rPr>
                <w:rFonts w:eastAsia="Calibri" w:cs="Times New Roman"/>
                <w:kern w:val="0"/>
                <w:lang w:eastAsia="uk-UA"/>
              </w:rPr>
              <w:t>Учасник попереджується, що його пропозиція може бути відхилена в разі, якщо товар, який представлявся ним на торги, не відповідає технічним вимогам Технічної специфікації, що встановиться в ході передпродажного огляду</w:t>
            </w:r>
            <w:r w:rsidR="00D064FC" w:rsidRPr="00614090">
              <w:rPr>
                <w:rFonts w:eastAsia="Calibri" w:cs="Times New Roman"/>
                <w:kern w:val="0"/>
                <w:lang w:eastAsia="uk-UA"/>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CC2D9DC"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r w:rsidR="004662FE" w:rsidRPr="00614090" w14:paraId="3ACD683B" w14:textId="77777777" w:rsidTr="00990DC3">
        <w:tc>
          <w:tcPr>
            <w:tcW w:w="851" w:type="dxa"/>
            <w:tcBorders>
              <w:top w:val="single" w:sz="4" w:space="0" w:color="000000"/>
              <w:left w:val="single" w:sz="4" w:space="0" w:color="000000"/>
              <w:bottom w:val="single" w:sz="4" w:space="0" w:color="000000"/>
            </w:tcBorders>
            <w:shd w:val="clear" w:color="auto" w:fill="auto"/>
          </w:tcPr>
          <w:p w14:paraId="09E4939C" w14:textId="77777777" w:rsidR="004662FE" w:rsidRPr="00614090"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0FF775E" w14:textId="565C0868" w:rsidR="004662FE" w:rsidRPr="00614090" w:rsidRDefault="004662FE" w:rsidP="0063728F">
            <w:pPr>
              <w:tabs>
                <w:tab w:val="left" w:pos="1560"/>
              </w:tabs>
              <w:spacing w:line="276" w:lineRule="auto"/>
              <w:jc w:val="both"/>
              <w:rPr>
                <w:rFonts w:eastAsia="Times New Roman" w:cs="Times New Roman"/>
                <w:bCs/>
                <w:kern w:val="0"/>
                <w:lang w:eastAsia="ru-RU"/>
              </w:rPr>
            </w:pPr>
            <w:r w:rsidRPr="00614090">
              <w:rPr>
                <w:rFonts w:eastAsia="Arial" w:cs="Times New Roman"/>
                <w:kern w:val="0"/>
                <w:lang w:eastAsia="ru-RU"/>
              </w:rPr>
              <w:t xml:space="preserve">Гарантійний термін на Товар повинен складати не менше </w:t>
            </w:r>
            <w:r w:rsidR="0063728F" w:rsidRPr="00614090">
              <w:rPr>
                <w:rFonts w:eastAsia="Arial" w:cs="Times New Roman"/>
                <w:kern w:val="0"/>
                <w:lang w:val="ru-RU" w:eastAsia="ru-RU"/>
              </w:rPr>
              <w:t>12</w:t>
            </w:r>
            <w:r w:rsidRPr="00614090">
              <w:rPr>
                <w:rFonts w:eastAsia="Arial" w:cs="Times New Roman"/>
                <w:kern w:val="0"/>
                <w:lang w:eastAsia="ru-RU"/>
              </w:rPr>
              <w:t xml:space="preserve"> місяці</w:t>
            </w:r>
            <w:r w:rsidR="0063728F" w:rsidRPr="00614090">
              <w:rPr>
                <w:rFonts w:eastAsia="Arial" w:cs="Times New Roman"/>
                <w:kern w:val="0"/>
                <w:lang w:eastAsia="ru-RU"/>
              </w:rPr>
              <w:t>в</w:t>
            </w:r>
            <w:r w:rsidRPr="00614090">
              <w:rPr>
                <w:rFonts w:eastAsia="Arial" w:cs="Times New Roman"/>
                <w:kern w:val="0"/>
                <w:lang w:eastAsia="ru-RU"/>
              </w:rPr>
              <w:t xml:space="preserve"> або </w:t>
            </w:r>
            <w:r w:rsidR="00C76F5F" w:rsidRPr="00614090">
              <w:rPr>
                <w:rFonts w:eastAsia="Arial" w:cs="Times New Roman"/>
                <w:kern w:val="0"/>
                <w:lang w:eastAsia="ru-RU"/>
              </w:rPr>
              <w:t>20</w:t>
            </w:r>
            <w:r w:rsidRPr="00614090">
              <w:rPr>
                <w:rFonts w:eastAsia="Arial" w:cs="Times New Roman"/>
                <w:kern w:val="0"/>
                <w:lang w:eastAsia="ru-RU"/>
              </w:rPr>
              <w:t>00 мотогодин від дати поставки (залежно від того, що настане раніше)</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3930903" w14:textId="77777777" w:rsidR="004662FE" w:rsidRPr="00614090" w:rsidRDefault="004662FE" w:rsidP="00990DC3">
            <w:pPr>
              <w:tabs>
                <w:tab w:val="left" w:pos="1560"/>
              </w:tabs>
              <w:spacing w:line="276" w:lineRule="auto"/>
              <w:ind w:firstLine="709"/>
              <w:jc w:val="both"/>
              <w:rPr>
                <w:rFonts w:eastAsia="Arial" w:cs="Times New Roman"/>
                <w:kern w:val="0"/>
                <w:lang w:eastAsia="ru-RU"/>
              </w:rPr>
            </w:pPr>
          </w:p>
        </w:tc>
      </w:tr>
    </w:tbl>
    <w:p w14:paraId="7524811A" w14:textId="77777777" w:rsidR="004662FE" w:rsidRPr="00614090" w:rsidRDefault="004662FE" w:rsidP="004662FE">
      <w:pPr>
        <w:spacing w:line="276" w:lineRule="auto"/>
        <w:ind w:firstLine="709"/>
        <w:jc w:val="both"/>
        <w:rPr>
          <w:rFonts w:eastAsia="Arial" w:cs="Times New Roman"/>
          <w:b/>
          <w:bCs/>
          <w:kern w:val="0"/>
          <w:lang w:val="ru-RU" w:eastAsia="ru-RU"/>
        </w:rPr>
      </w:pPr>
    </w:p>
    <w:p w14:paraId="2D963704" w14:textId="77777777" w:rsidR="004662FE" w:rsidRPr="00614090" w:rsidRDefault="004662FE" w:rsidP="004662FE">
      <w:pPr>
        <w:spacing w:line="276" w:lineRule="auto"/>
        <w:ind w:firstLine="709"/>
        <w:jc w:val="both"/>
        <w:rPr>
          <w:rFonts w:eastAsia="Arial" w:cs="Times New Roman"/>
          <w:b/>
          <w:bCs/>
          <w:kern w:val="0"/>
          <w:lang w:eastAsia="ru-RU"/>
        </w:rPr>
      </w:pPr>
      <w:r w:rsidRPr="00614090">
        <w:rPr>
          <w:rFonts w:eastAsia="Arial" w:cs="Times New Roman"/>
          <w:b/>
          <w:bCs/>
          <w:kern w:val="0"/>
          <w:lang w:eastAsia="ru-RU"/>
        </w:rPr>
        <w:t>Інші вимоги</w:t>
      </w:r>
    </w:p>
    <w:p w14:paraId="550CAB6A" w14:textId="77777777" w:rsidR="004662FE" w:rsidRPr="00614090" w:rsidRDefault="004662FE" w:rsidP="004662FE">
      <w:pPr>
        <w:spacing w:line="276" w:lineRule="auto"/>
        <w:ind w:firstLine="709"/>
        <w:jc w:val="both"/>
        <w:rPr>
          <w:rFonts w:eastAsia="Arial" w:cs="Times New Roman"/>
          <w:b/>
          <w:bCs/>
          <w:kern w:val="0"/>
          <w:lang w:eastAsia="ru-RU"/>
        </w:rPr>
      </w:pPr>
      <w:r w:rsidRPr="00614090">
        <w:rPr>
          <w:rFonts w:eastAsia="Calibri" w:cs="Times New Roman"/>
          <w:color w:val="000000"/>
          <w:kern w:val="0"/>
        </w:rPr>
        <w:t xml:space="preserve">1. Учасник у складі пропозиції повинен надати інформацію про відповідність запропонованого до поставки Товару технічним вимогам Замовника за формою розділів 1, 2, 3 порівняльної таблиці Технічної специфікації.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sidRPr="00614090">
        <w:rPr>
          <w:rFonts w:eastAsia="Times New Roman" w:cs="Times New Roman"/>
          <w:color w:val="000000"/>
          <w:kern w:val="0"/>
          <w:lang w:eastAsia="ru-RU"/>
        </w:rPr>
        <w:t>У разі ненадання такої інформації або невідповідності запропонованого до поставки Товару технічним вимогам Замовника, пропозиція вважається такою, що не відповідає вимогам та відхиляється</w:t>
      </w:r>
      <w:r w:rsidRPr="00614090">
        <w:rPr>
          <w:rFonts w:eastAsia="Arial" w:cs="Times New Roman"/>
          <w:kern w:val="0"/>
          <w:lang w:eastAsia="ru-RU"/>
        </w:rPr>
        <w:t>.</w:t>
      </w:r>
    </w:p>
    <w:p w14:paraId="5A1A3836" w14:textId="77777777" w:rsidR="004662FE" w:rsidRPr="00614090" w:rsidRDefault="004662FE" w:rsidP="004662FE">
      <w:pPr>
        <w:spacing w:line="276" w:lineRule="auto"/>
        <w:ind w:firstLine="709"/>
        <w:jc w:val="both"/>
        <w:rPr>
          <w:rFonts w:eastAsia="Arial" w:cs="Times New Roman"/>
          <w:b/>
          <w:bCs/>
          <w:kern w:val="0"/>
          <w:lang w:eastAsia="ru-RU"/>
        </w:rPr>
      </w:pPr>
      <w:r w:rsidRPr="00614090">
        <w:rPr>
          <w:rFonts w:eastAsia="Calibri" w:cs="Times New Roman"/>
          <w:color w:val="000000"/>
          <w:kern w:val="0"/>
        </w:rPr>
        <w:t>2. 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14:paraId="589E6636" w14:textId="77777777" w:rsidR="004662FE" w:rsidRPr="00614090" w:rsidRDefault="004662FE" w:rsidP="004662FE">
      <w:pPr>
        <w:spacing w:line="276" w:lineRule="auto"/>
        <w:ind w:firstLine="709"/>
        <w:jc w:val="both"/>
        <w:rPr>
          <w:rFonts w:eastAsia="Arial" w:cs="Times New Roman"/>
          <w:b/>
          <w:bCs/>
          <w:kern w:val="0"/>
          <w:lang w:eastAsia="ru-RU"/>
        </w:rPr>
      </w:pPr>
      <w:r w:rsidRPr="00614090">
        <w:rPr>
          <w:rFonts w:eastAsia="Arial" w:cs="Times New Roman"/>
          <w:kern w:val="0"/>
          <w:lang w:eastAsia="ru-RU"/>
        </w:rPr>
        <w:t xml:space="preserve">3. 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оголошенні, страхування, сплату митних тарифів та усіх інших витрат. </w:t>
      </w:r>
      <w:r w:rsidRPr="00614090">
        <w:rPr>
          <w:rFonts w:eastAsia="Arial" w:cs="Times New Roman"/>
          <w:iCs/>
          <w:color w:val="000000"/>
          <w:kern w:val="0"/>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у разі відміни закупівлі чи визнання закупівлі такою, що не відбулася). </w:t>
      </w:r>
      <w:r w:rsidRPr="00614090">
        <w:rPr>
          <w:rFonts w:eastAsia="Arial" w:cs="Times New Roman"/>
          <w:kern w:val="0"/>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14:paraId="573186D9" w14:textId="55A34771" w:rsidR="004662FE" w:rsidRPr="00614090" w:rsidRDefault="004662FE" w:rsidP="004662FE">
      <w:pPr>
        <w:spacing w:line="276" w:lineRule="auto"/>
        <w:ind w:firstLine="709"/>
        <w:jc w:val="both"/>
        <w:rPr>
          <w:rFonts w:eastAsia="Arial" w:cs="Times New Roman"/>
          <w:kern w:val="0"/>
          <w:lang w:eastAsia="ru-RU"/>
        </w:rPr>
      </w:pPr>
      <w:r w:rsidRPr="00614090">
        <w:rPr>
          <w:rFonts w:eastAsia="Arial" w:cs="Times New Roman"/>
          <w:kern w:val="0"/>
          <w:lang w:eastAsia="ru-RU"/>
        </w:rPr>
        <w:t>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14:paraId="73F89E14" w14:textId="4E575891" w:rsidR="00962CD4" w:rsidRPr="00614090" w:rsidRDefault="00962CD4" w:rsidP="004662FE">
      <w:pPr>
        <w:spacing w:line="276" w:lineRule="auto"/>
        <w:ind w:firstLine="709"/>
        <w:jc w:val="both"/>
        <w:rPr>
          <w:rFonts w:cs="Times New Roman"/>
          <w:bCs/>
        </w:rPr>
      </w:pPr>
      <w:r w:rsidRPr="00614090">
        <w:rPr>
          <w:rFonts w:cs="Times New Roman"/>
          <w:bCs/>
        </w:rPr>
        <w:t xml:space="preserve">5. </w:t>
      </w:r>
      <w:r w:rsidR="00B22156" w:rsidRPr="00614090">
        <w:rPr>
          <w:rFonts w:eastAsia="Calibri" w:cs="Times New Roman"/>
          <w:color w:val="000000"/>
          <w:kern w:val="0"/>
        </w:rPr>
        <w:t>Учасник у складі своєї пропозиції повинен надати</w:t>
      </w:r>
      <w:r w:rsidR="00B22156" w:rsidRPr="00614090">
        <w:rPr>
          <w:rFonts w:cs="Times New Roman"/>
          <w:bCs/>
          <w:lang w:val="ru-RU"/>
        </w:rPr>
        <w:t xml:space="preserve"> г</w:t>
      </w:r>
      <w:r w:rsidR="00547C4E" w:rsidRPr="00614090">
        <w:rPr>
          <w:rFonts w:cs="Times New Roman"/>
          <w:bCs/>
        </w:rPr>
        <w:t>арантійний</w:t>
      </w:r>
      <w:r w:rsidR="00103254" w:rsidRPr="00614090">
        <w:rPr>
          <w:rFonts w:cs="Times New Roman"/>
          <w:bCs/>
        </w:rPr>
        <w:t xml:space="preserve"> лист про те, що учасник не має встановлених судом порушень, стягнень неустойки, штрафу або пені по укладеним договорам за результатами тендерних закупівель;</w:t>
      </w:r>
    </w:p>
    <w:p w14:paraId="5DC121CF" w14:textId="55C06CD7" w:rsidR="0025201E" w:rsidRPr="00614090" w:rsidRDefault="0025201E" w:rsidP="004662FE">
      <w:pPr>
        <w:spacing w:line="276" w:lineRule="auto"/>
        <w:ind w:firstLine="709"/>
        <w:jc w:val="both"/>
        <w:rPr>
          <w:rFonts w:cs="Times New Roman"/>
          <w:bCs/>
        </w:rPr>
      </w:pPr>
      <w:r w:rsidRPr="00614090">
        <w:rPr>
          <w:rFonts w:cs="Times New Roman"/>
          <w:bCs/>
          <w:lang w:val="ru-RU"/>
        </w:rPr>
        <w:t xml:space="preserve">6. </w:t>
      </w:r>
      <w:r w:rsidRPr="00614090">
        <w:rPr>
          <w:rFonts w:cs="Times New Roman"/>
          <w:bCs/>
        </w:rPr>
        <w:t>Учасник у складі тендерної пропозиції повинен надати гарантійний лист про те</w:t>
      </w:r>
      <w:r w:rsidRPr="00614090">
        <w:rPr>
          <w:rFonts w:cs="Times New Roman"/>
          <w:bCs/>
          <w:lang w:val="ru-RU"/>
        </w:rPr>
        <w:t xml:space="preserve">, що бульдозер </w:t>
      </w:r>
      <w:r w:rsidRPr="00614090">
        <w:rPr>
          <w:rFonts w:cs="Times New Roman"/>
          <w:bCs/>
        </w:rPr>
        <w:t xml:space="preserve">знаходиться на території України та </w:t>
      </w:r>
      <w:r w:rsidR="00B50216" w:rsidRPr="00614090">
        <w:rPr>
          <w:rFonts w:cs="Times New Roman"/>
          <w:bCs/>
        </w:rPr>
        <w:t xml:space="preserve">додати фотографічне </w:t>
      </w:r>
      <w:r w:rsidR="00A70DD5" w:rsidRPr="00614090">
        <w:rPr>
          <w:rFonts w:cs="Times New Roman"/>
          <w:bCs/>
        </w:rPr>
        <w:t xml:space="preserve">зображення таблички (шильдик) </w:t>
      </w:r>
      <w:r w:rsidR="00B50216" w:rsidRPr="00614090">
        <w:rPr>
          <w:rFonts w:cs="Times New Roman"/>
          <w:bCs/>
        </w:rPr>
        <w:t>із</w:t>
      </w:r>
      <w:r w:rsidR="00A70DD5" w:rsidRPr="00614090">
        <w:rPr>
          <w:rFonts w:cs="Times New Roman"/>
          <w:bCs/>
        </w:rPr>
        <w:t xml:space="preserve"> зазначенням </w:t>
      </w:r>
      <w:r w:rsidR="00B50216" w:rsidRPr="00614090">
        <w:rPr>
          <w:rFonts w:cs="Times New Roman"/>
          <w:bCs/>
        </w:rPr>
        <w:t>серійн</w:t>
      </w:r>
      <w:r w:rsidR="00A70DD5" w:rsidRPr="00614090">
        <w:rPr>
          <w:rFonts w:cs="Times New Roman"/>
          <w:bCs/>
        </w:rPr>
        <w:t>ого</w:t>
      </w:r>
      <w:r w:rsidRPr="00614090">
        <w:rPr>
          <w:rFonts w:cs="Times New Roman"/>
          <w:bCs/>
        </w:rPr>
        <w:t xml:space="preserve"> номер</w:t>
      </w:r>
      <w:r w:rsidR="00A70DD5" w:rsidRPr="00614090">
        <w:rPr>
          <w:rFonts w:cs="Times New Roman"/>
          <w:bCs/>
        </w:rPr>
        <w:t xml:space="preserve">у та </w:t>
      </w:r>
      <w:r w:rsidR="00B50216" w:rsidRPr="00614090">
        <w:rPr>
          <w:rFonts w:cs="Times New Roman"/>
          <w:bCs/>
        </w:rPr>
        <w:t>ро</w:t>
      </w:r>
      <w:r w:rsidR="00A70DD5" w:rsidRPr="00614090">
        <w:rPr>
          <w:rFonts w:cs="Times New Roman"/>
          <w:bCs/>
        </w:rPr>
        <w:t>ку виготовлення</w:t>
      </w:r>
      <w:r w:rsidRPr="00614090">
        <w:rPr>
          <w:rFonts w:cs="Times New Roman"/>
          <w:bCs/>
        </w:rPr>
        <w:t>.</w:t>
      </w:r>
    </w:p>
    <w:p w14:paraId="521C58F5" w14:textId="10C0E861" w:rsidR="005359B5" w:rsidRPr="00614090" w:rsidRDefault="005359B5" w:rsidP="004662FE">
      <w:pPr>
        <w:spacing w:line="276" w:lineRule="auto"/>
        <w:ind w:firstLine="709"/>
        <w:jc w:val="both"/>
        <w:rPr>
          <w:lang w:eastAsia="ru-RU"/>
        </w:rPr>
      </w:pPr>
      <w:r w:rsidRPr="00614090">
        <w:rPr>
          <w:rFonts w:cs="Times New Roman"/>
          <w:bCs/>
        </w:rPr>
        <w:t xml:space="preserve">7. </w:t>
      </w:r>
      <w:r w:rsidR="00B22156" w:rsidRPr="00614090">
        <w:rPr>
          <w:rFonts w:eastAsia="Times New Roman"/>
        </w:rPr>
        <w:t>Учасник у складі тендерної пропозиції має надати</w:t>
      </w:r>
      <w:r w:rsidR="00B22156" w:rsidRPr="00614090">
        <w:rPr>
          <w:lang w:eastAsia="ru-RU"/>
        </w:rPr>
        <w:t xml:space="preserve"> </w:t>
      </w:r>
      <w:r w:rsidR="00980B44" w:rsidRPr="00614090">
        <w:rPr>
          <w:lang w:eastAsia="ru-RU"/>
        </w:rPr>
        <w:t xml:space="preserve">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w:t>
      </w:r>
      <w:r w:rsidR="00980B44" w:rsidRPr="00614090">
        <w:rPr>
          <w:lang w:eastAsia="ru-RU"/>
        </w:rPr>
        <w:lastRenderedPageBreak/>
        <w:t>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Pr="00614090">
        <w:rPr>
          <w:lang w:eastAsia="ru-RU"/>
        </w:rPr>
        <w:t>.</w:t>
      </w:r>
    </w:p>
    <w:p w14:paraId="23FA5EF8" w14:textId="12BD2091" w:rsidR="005359B5" w:rsidRPr="00614090" w:rsidRDefault="005359B5" w:rsidP="004662FE">
      <w:pPr>
        <w:spacing w:line="276" w:lineRule="auto"/>
        <w:ind w:firstLine="709"/>
        <w:jc w:val="both"/>
        <w:rPr>
          <w:rFonts w:eastAsia="Arial" w:cs="Times New Roman"/>
          <w:b/>
          <w:bCs/>
          <w:kern w:val="0"/>
          <w:lang w:eastAsia="ru-RU"/>
        </w:rPr>
      </w:pPr>
      <w:r w:rsidRPr="00614090">
        <w:rPr>
          <w:lang w:eastAsia="ru-RU"/>
        </w:rPr>
        <w:t xml:space="preserve">8. </w:t>
      </w:r>
      <w:r w:rsidRPr="00614090">
        <w:rPr>
          <w:rFonts w:eastAsia="Times New Roman"/>
        </w:rPr>
        <w:t>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на сайті: https://prozorro.gov.ua.</w:t>
      </w:r>
    </w:p>
    <w:p w14:paraId="06F91FF8" w14:textId="7BC01B69" w:rsidR="009F71BB" w:rsidRPr="00614090" w:rsidRDefault="005359B5" w:rsidP="00C3510E">
      <w:pPr>
        <w:pStyle w:val="Standard"/>
        <w:ind w:firstLine="709"/>
        <w:jc w:val="both"/>
        <w:rPr>
          <w:rFonts w:cs="Times New Roman"/>
          <w:lang w:val="uk-UA"/>
        </w:rPr>
      </w:pPr>
      <w:r w:rsidRPr="00614090">
        <w:rPr>
          <w:rFonts w:cs="Times New Roman"/>
          <w:lang w:val="uk-UA"/>
        </w:rPr>
        <w:t>9</w:t>
      </w:r>
      <w:r w:rsidR="009C0C6F" w:rsidRPr="00614090">
        <w:rPr>
          <w:rFonts w:cs="Times New Roman"/>
          <w:lang w:val="uk-UA"/>
        </w:rPr>
        <w:t xml:space="preserve">. Термін </w:t>
      </w:r>
      <w:r w:rsidR="00C25718" w:rsidRPr="00614090">
        <w:rPr>
          <w:rFonts w:cs="Times New Roman"/>
          <w:lang w:val="uk-UA"/>
        </w:rPr>
        <w:t xml:space="preserve">поставки – </w:t>
      </w:r>
      <w:r w:rsidR="00C3510E" w:rsidRPr="00614090">
        <w:rPr>
          <w:rFonts w:cs="Times New Roman"/>
          <w:lang w:val="uk-UA"/>
        </w:rPr>
        <w:t>Постачальник повинен поставити товар протягом 7 робочих днів з моменту укладання договору, але в будь-якому випадку не пізніше ніж до 31.12.2023 року</w:t>
      </w:r>
      <w:r w:rsidR="009F71BB" w:rsidRPr="00614090">
        <w:rPr>
          <w:rFonts w:cs="Times New Roman"/>
          <w:lang w:val="uk-UA"/>
        </w:rPr>
        <w:t>.</w:t>
      </w:r>
    </w:p>
    <w:p w14:paraId="63670308" w14:textId="54B5CCE2" w:rsidR="00C25718" w:rsidRPr="00614090" w:rsidRDefault="00C4001F" w:rsidP="00C4001F">
      <w:pPr>
        <w:pStyle w:val="Standard"/>
        <w:jc w:val="both"/>
        <w:rPr>
          <w:rFonts w:cs="Times New Roman"/>
          <w:lang w:val="uk-UA"/>
        </w:rPr>
      </w:pPr>
      <w:r w:rsidRPr="00614090">
        <w:rPr>
          <w:rFonts w:cs="Times New Roman"/>
          <w:lang w:val="uk-UA"/>
        </w:rPr>
        <w:t xml:space="preserve">           </w:t>
      </w:r>
      <w:r w:rsidR="005359B5" w:rsidRPr="00614090">
        <w:rPr>
          <w:rFonts w:cs="Times New Roman"/>
          <w:lang w:val="uk-UA"/>
        </w:rPr>
        <w:t>10</w:t>
      </w:r>
      <w:r w:rsidR="00C25718" w:rsidRPr="00614090">
        <w:rPr>
          <w:rFonts w:cs="Times New Roman"/>
          <w:lang w:val="uk-UA"/>
        </w:rPr>
        <w:t>. Умови оплати – протягом 150 календарних днів з моменту поставки Товару.</w:t>
      </w:r>
    </w:p>
    <w:p w14:paraId="11D79B27" w14:textId="1767EDAE" w:rsidR="005359B5" w:rsidRPr="00614090" w:rsidRDefault="005359B5" w:rsidP="009F71BB">
      <w:pPr>
        <w:pStyle w:val="Standard"/>
        <w:ind w:left="709"/>
        <w:jc w:val="both"/>
        <w:rPr>
          <w:rFonts w:cs="Times New Roman"/>
          <w:lang w:val="uk-UA"/>
        </w:rPr>
      </w:pPr>
    </w:p>
    <w:p w14:paraId="08ED1998" w14:textId="1A922AC0" w:rsidR="005359B5" w:rsidRPr="00614090" w:rsidRDefault="005359B5" w:rsidP="005359B5">
      <w:pPr>
        <w:pBdr>
          <w:top w:val="nil"/>
          <w:left w:val="nil"/>
          <w:bottom w:val="nil"/>
          <w:right w:val="nil"/>
          <w:between w:val="nil"/>
        </w:pBdr>
        <w:ind w:firstLine="284"/>
        <w:jc w:val="both"/>
        <w:rPr>
          <w:rFonts w:eastAsia="Times New Roman"/>
          <w:b/>
          <w:color w:val="000000"/>
        </w:rPr>
      </w:pPr>
      <w:r w:rsidRPr="00614090">
        <w:rPr>
          <w:rFonts w:eastAsia="Times New Roman"/>
          <w:b/>
          <w:color w:val="000000"/>
        </w:rPr>
        <w:t xml:space="preserve">Примітка: </w:t>
      </w:r>
      <w:r w:rsidRPr="00614090">
        <w:rPr>
          <w:rFonts w:eastAsia="Times New Roman"/>
          <w:color w:val="00000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r w:rsidRPr="00614090">
        <w:rPr>
          <w:rFonts w:eastAsia="Times New Roman"/>
          <w:color w:val="000000"/>
          <w:u w:val="single"/>
        </w:rPr>
        <w:t xml:space="preserve">Після кожного такого посилання слід вважати наявний вираз </w:t>
      </w:r>
      <w:r w:rsidRPr="00614090">
        <w:rPr>
          <w:rFonts w:eastAsia="Times New Roman"/>
          <w:b/>
          <w:color w:val="000000"/>
          <w:u w:val="single"/>
        </w:rPr>
        <w:t>«або еквівалент».</w:t>
      </w:r>
      <w:r w:rsidRPr="00614090">
        <w:rPr>
          <w:rFonts w:eastAsia="Times New Roman"/>
          <w:b/>
          <w:color w:val="000000"/>
        </w:rPr>
        <w:t xml:space="preserve"> </w:t>
      </w:r>
    </w:p>
    <w:p w14:paraId="7407EF02" w14:textId="77777777" w:rsidR="00B55D65" w:rsidRPr="00614090" w:rsidRDefault="005359B5" w:rsidP="005359B5">
      <w:pPr>
        <w:pBdr>
          <w:top w:val="nil"/>
          <w:left w:val="nil"/>
          <w:bottom w:val="nil"/>
          <w:right w:val="nil"/>
          <w:between w:val="nil"/>
        </w:pBdr>
        <w:ind w:firstLine="426"/>
        <w:jc w:val="both"/>
        <w:rPr>
          <w:rFonts w:eastAsia="Times New Roman"/>
          <w:b/>
          <w:color w:val="000000"/>
          <w:u w:val="single"/>
        </w:rPr>
      </w:pPr>
      <w:r w:rsidRPr="00614090">
        <w:rPr>
          <w:rFonts w:eastAsia="Times New Roman"/>
          <w:color w:val="00000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 </w:t>
      </w:r>
      <w:r w:rsidRPr="00614090">
        <w:rPr>
          <w:rFonts w:eastAsia="Times New Roman"/>
          <w:color w:val="000000"/>
          <w:u w:val="single"/>
        </w:rPr>
        <w:t xml:space="preserve">Після кожного такого посилання слід вважати наявний вираз </w:t>
      </w:r>
      <w:r w:rsidRPr="00614090">
        <w:rPr>
          <w:rFonts w:eastAsia="Times New Roman"/>
          <w:b/>
          <w:color w:val="000000"/>
          <w:u w:val="single"/>
        </w:rPr>
        <w:t>«або еквівалент».</w:t>
      </w:r>
    </w:p>
    <w:p w14:paraId="0AFB9A6A" w14:textId="76BD35E2" w:rsidR="005359B5" w:rsidRPr="00614090" w:rsidRDefault="00B55D65" w:rsidP="005359B5">
      <w:pPr>
        <w:pBdr>
          <w:top w:val="nil"/>
          <w:left w:val="nil"/>
          <w:bottom w:val="nil"/>
          <w:right w:val="nil"/>
          <w:between w:val="nil"/>
        </w:pBdr>
        <w:ind w:firstLine="426"/>
        <w:jc w:val="both"/>
        <w:rPr>
          <w:rFonts w:eastAsia="Times New Roman"/>
          <w:color w:val="000000"/>
          <w:u w:val="single"/>
        </w:rPr>
      </w:pPr>
      <w:r w:rsidRPr="00614090">
        <w:rPr>
          <w:rFonts w:eastAsia="Times New Roman"/>
        </w:rPr>
        <w:t>Закупівля бульдозеру з певними технічними і якісними характеристиками, а також посилання на торгову марку або модель обґрунтована наявними потребами Замовника з урахуванням віддаленості району,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бульдозера з певними технічними і якісними характеристиками.</w:t>
      </w:r>
      <w:r w:rsidR="005359B5" w:rsidRPr="00614090">
        <w:rPr>
          <w:rFonts w:eastAsia="Times New Roman"/>
          <w:color w:val="000000"/>
          <w:u w:val="single"/>
        </w:rPr>
        <w:t xml:space="preserve"> </w:t>
      </w:r>
    </w:p>
    <w:p w14:paraId="0915DCC5" w14:textId="039190C5" w:rsidR="005359B5" w:rsidRDefault="005359B5" w:rsidP="005359B5">
      <w:pPr>
        <w:pStyle w:val="Standard"/>
        <w:jc w:val="both"/>
        <w:rPr>
          <w:rFonts w:cs="Times New Roman"/>
          <w:lang w:val="uk-UA"/>
        </w:rPr>
      </w:pPr>
      <w:r w:rsidRPr="00614090">
        <w:rPr>
          <w:rFonts w:eastAsia="Times New Roman"/>
          <w:color w:val="000000"/>
          <w:lang w:val="uk-UA"/>
        </w:rPr>
        <w:t xml:space="preserve">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30725DF7" w14:textId="77DB0852" w:rsidR="009F71BB" w:rsidRPr="004662FE" w:rsidRDefault="009F71BB" w:rsidP="009F71BB">
      <w:pPr>
        <w:pStyle w:val="Standard"/>
        <w:ind w:left="709"/>
        <w:jc w:val="both"/>
        <w:rPr>
          <w:rFonts w:cs="Times New Roman"/>
          <w:lang w:val="uk-UA"/>
        </w:rPr>
      </w:pPr>
    </w:p>
    <w:sectPr w:rsidR="009F71BB" w:rsidRPr="004662FE" w:rsidSect="00103D3F">
      <w:pgSz w:w="11906" w:h="16838"/>
      <w:pgMar w:top="709" w:right="1134" w:bottom="56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4752E" w14:textId="77777777" w:rsidR="00186399" w:rsidRDefault="00186399">
      <w:r>
        <w:separator/>
      </w:r>
    </w:p>
  </w:endnote>
  <w:endnote w:type="continuationSeparator" w:id="0">
    <w:p w14:paraId="629A0AC5" w14:textId="77777777" w:rsidR="00186399" w:rsidRDefault="0018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E8A05" w14:textId="77777777" w:rsidR="00186399" w:rsidRDefault="00186399">
      <w:r>
        <w:rPr>
          <w:color w:val="000000"/>
        </w:rPr>
        <w:ptab w:relativeTo="margin" w:alignment="center" w:leader="none"/>
      </w:r>
    </w:p>
  </w:footnote>
  <w:footnote w:type="continuationSeparator" w:id="0">
    <w:p w14:paraId="2FB0E12D" w14:textId="77777777" w:rsidR="00186399" w:rsidRDefault="00186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E0E85"/>
    <w:multiLevelType w:val="hybridMultilevel"/>
    <w:tmpl w:val="480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B5260"/>
    <w:multiLevelType w:val="hybridMultilevel"/>
    <w:tmpl w:val="EFAC4B7C"/>
    <w:lvl w:ilvl="0" w:tplc="CD5A7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33DE5"/>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026B8"/>
    <w:multiLevelType w:val="multilevel"/>
    <w:tmpl w:val="3E5CDB90"/>
    <w:styleLink w:val="WW8Num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15:restartNumberingAfterBreak="0">
    <w:nsid w:val="48C503D4"/>
    <w:multiLevelType w:val="multilevel"/>
    <w:tmpl w:val="F24AA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06534"/>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8"/>
    <w:lvlOverride w:ilvl="0">
      <w:startOverride w:val="1"/>
      <w:lvl w:ilvl="0">
        <w:start w:val="1"/>
        <w:numFmt w:val="decimal"/>
        <w:lvlText w:val="%1."/>
        <w:lvlJc w:val="left"/>
        <w:pPr>
          <w:ind w:left="720" w:hanging="360"/>
        </w:pPr>
      </w:lvl>
    </w:lvlOverride>
  </w:num>
  <w:num w:numId="5">
    <w:abstractNumId w:val="1"/>
  </w:num>
  <w:num w:numId="6">
    <w:abstractNumId w:val="9"/>
  </w:num>
  <w:num w:numId="7">
    <w:abstractNumId w:val="0"/>
  </w:num>
  <w:num w:numId="8">
    <w:abstractNumId w:val="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8A"/>
    <w:rsid w:val="00003687"/>
    <w:rsid w:val="000143F5"/>
    <w:rsid w:val="00022444"/>
    <w:rsid w:val="00024738"/>
    <w:rsid w:val="00030EA0"/>
    <w:rsid w:val="00040473"/>
    <w:rsid w:val="0004477D"/>
    <w:rsid w:val="00051F34"/>
    <w:rsid w:val="00054495"/>
    <w:rsid w:val="00054ECE"/>
    <w:rsid w:val="00060E65"/>
    <w:rsid w:val="000647E3"/>
    <w:rsid w:val="00067C10"/>
    <w:rsid w:val="00070ADC"/>
    <w:rsid w:val="000A077F"/>
    <w:rsid w:val="000A4D1E"/>
    <w:rsid w:val="000B5554"/>
    <w:rsid w:val="000B5F7A"/>
    <w:rsid w:val="000C3704"/>
    <w:rsid w:val="000C63CF"/>
    <w:rsid w:val="000C7754"/>
    <w:rsid w:val="000D42CE"/>
    <w:rsid w:val="000D6B88"/>
    <w:rsid w:val="00103254"/>
    <w:rsid w:val="00103D3F"/>
    <w:rsid w:val="00113E37"/>
    <w:rsid w:val="00114EB8"/>
    <w:rsid w:val="00144340"/>
    <w:rsid w:val="00154642"/>
    <w:rsid w:val="0015525F"/>
    <w:rsid w:val="00157C1B"/>
    <w:rsid w:val="00186399"/>
    <w:rsid w:val="00186AD5"/>
    <w:rsid w:val="001A601D"/>
    <w:rsid w:val="001C16B3"/>
    <w:rsid w:val="001C57F1"/>
    <w:rsid w:val="002131FA"/>
    <w:rsid w:val="0025201E"/>
    <w:rsid w:val="0025745D"/>
    <w:rsid w:val="002678B2"/>
    <w:rsid w:val="00277377"/>
    <w:rsid w:val="002842D7"/>
    <w:rsid w:val="00292D47"/>
    <w:rsid w:val="002A00AF"/>
    <w:rsid w:val="002B178E"/>
    <w:rsid w:val="002B24CC"/>
    <w:rsid w:val="002C566E"/>
    <w:rsid w:val="002D2553"/>
    <w:rsid w:val="002D4709"/>
    <w:rsid w:val="002F3AEF"/>
    <w:rsid w:val="0030017E"/>
    <w:rsid w:val="0030611A"/>
    <w:rsid w:val="00306758"/>
    <w:rsid w:val="0031221D"/>
    <w:rsid w:val="00314B46"/>
    <w:rsid w:val="0033281D"/>
    <w:rsid w:val="003366C0"/>
    <w:rsid w:val="003644B2"/>
    <w:rsid w:val="003679AF"/>
    <w:rsid w:val="00374A3A"/>
    <w:rsid w:val="00383C48"/>
    <w:rsid w:val="00383F00"/>
    <w:rsid w:val="003A4D11"/>
    <w:rsid w:val="003B572B"/>
    <w:rsid w:val="003C380C"/>
    <w:rsid w:val="003C65C0"/>
    <w:rsid w:val="003E2423"/>
    <w:rsid w:val="003E6EBF"/>
    <w:rsid w:val="003F6BB3"/>
    <w:rsid w:val="0042426F"/>
    <w:rsid w:val="00427B8C"/>
    <w:rsid w:val="0043155A"/>
    <w:rsid w:val="004366B2"/>
    <w:rsid w:val="004414FE"/>
    <w:rsid w:val="00451AA3"/>
    <w:rsid w:val="004525DD"/>
    <w:rsid w:val="004619FA"/>
    <w:rsid w:val="004662FE"/>
    <w:rsid w:val="00470753"/>
    <w:rsid w:val="004734AC"/>
    <w:rsid w:val="00480BF9"/>
    <w:rsid w:val="00487F75"/>
    <w:rsid w:val="00490943"/>
    <w:rsid w:val="0049363C"/>
    <w:rsid w:val="004A5F82"/>
    <w:rsid w:val="004B30F8"/>
    <w:rsid w:val="004B3CF6"/>
    <w:rsid w:val="004F54A3"/>
    <w:rsid w:val="004F62B0"/>
    <w:rsid w:val="004F76AC"/>
    <w:rsid w:val="00503E9C"/>
    <w:rsid w:val="00515756"/>
    <w:rsid w:val="00516941"/>
    <w:rsid w:val="005228DF"/>
    <w:rsid w:val="00522DAD"/>
    <w:rsid w:val="00526949"/>
    <w:rsid w:val="005359B5"/>
    <w:rsid w:val="00547C4E"/>
    <w:rsid w:val="005518CE"/>
    <w:rsid w:val="00555188"/>
    <w:rsid w:val="00555E73"/>
    <w:rsid w:val="00557BF8"/>
    <w:rsid w:val="00570C32"/>
    <w:rsid w:val="00577090"/>
    <w:rsid w:val="0057797B"/>
    <w:rsid w:val="005A07ED"/>
    <w:rsid w:val="005A7B1C"/>
    <w:rsid w:val="005C19FA"/>
    <w:rsid w:val="005C6236"/>
    <w:rsid w:val="005D0783"/>
    <w:rsid w:val="005D4772"/>
    <w:rsid w:val="005D6168"/>
    <w:rsid w:val="005F5471"/>
    <w:rsid w:val="00604A1E"/>
    <w:rsid w:val="00610698"/>
    <w:rsid w:val="00614090"/>
    <w:rsid w:val="0061510B"/>
    <w:rsid w:val="00625171"/>
    <w:rsid w:val="00627C95"/>
    <w:rsid w:val="0063372C"/>
    <w:rsid w:val="0063728F"/>
    <w:rsid w:val="00641897"/>
    <w:rsid w:val="006446FD"/>
    <w:rsid w:val="00655C80"/>
    <w:rsid w:val="006574E8"/>
    <w:rsid w:val="00663900"/>
    <w:rsid w:val="006D0FAB"/>
    <w:rsid w:val="006D3B66"/>
    <w:rsid w:val="006D5976"/>
    <w:rsid w:val="006F79DB"/>
    <w:rsid w:val="00721C6F"/>
    <w:rsid w:val="00722E9D"/>
    <w:rsid w:val="007240E3"/>
    <w:rsid w:val="007342DA"/>
    <w:rsid w:val="007373C5"/>
    <w:rsid w:val="007376ED"/>
    <w:rsid w:val="00750BED"/>
    <w:rsid w:val="00756C4E"/>
    <w:rsid w:val="007657C1"/>
    <w:rsid w:val="00790CAE"/>
    <w:rsid w:val="007A4A64"/>
    <w:rsid w:val="007C2062"/>
    <w:rsid w:val="007E1037"/>
    <w:rsid w:val="007F60EB"/>
    <w:rsid w:val="00814629"/>
    <w:rsid w:val="00827BAE"/>
    <w:rsid w:val="00831B22"/>
    <w:rsid w:val="00846437"/>
    <w:rsid w:val="00847A62"/>
    <w:rsid w:val="00861E0A"/>
    <w:rsid w:val="00865FD8"/>
    <w:rsid w:val="00873D41"/>
    <w:rsid w:val="00882686"/>
    <w:rsid w:val="008B221C"/>
    <w:rsid w:val="008B3276"/>
    <w:rsid w:val="008C320D"/>
    <w:rsid w:val="008C5FAD"/>
    <w:rsid w:val="008D0CF0"/>
    <w:rsid w:val="008D2997"/>
    <w:rsid w:val="008E3065"/>
    <w:rsid w:val="008E770A"/>
    <w:rsid w:val="008E77CD"/>
    <w:rsid w:val="008F5BB6"/>
    <w:rsid w:val="00901E96"/>
    <w:rsid w:val="00912D5A"/>
    <w:rsid w:val="00932EFB"/>
    <w:rsid w:val="00962CD4"/>
    <w:rsid w:val="00980B44"/>
    <w:rsid w:val="0098118A"/>
    <w:rsid w:val="0098654D"/>
    <w:rsid w:val="009B449C"/>
    <w:rsid w:val="009C0C6F"/>
    <w:rsid w:val="009C7EFC"/>
    <w:rsid w:val="009E2CED"/>
    <w:rsid w:val="009E3233"/>
    <w:rsid w:val="009F71BB"/>
    <w:rsid w:val="009F7B7C"/>
    <w:rsid w:val="00A01257"/>
    <w:rsid w:val="00A05D80"/>
    <w:rsid w:val="00A110C6"/>
    <w:rsid w:val="00A233A5"/>
    <w:rsid w:val="00A249EC"/>
    <w:rsid w:val="00A635DD"/>
    <w:rsid w:val="00A70DD5"/>
    <w:rsid w:val="00A82AE8"/>
    <w:rsid w:val="00AA2709"/>
    <w:rsid w:val="00AA2CE9"/>
    <w:rsid w:val="00AC7156"/>
    <w:rsid w:val="00AD02A1"/>
    <w:rsid w:val="00AD3696"/>
    <w:rsid w:val="00AD386B"/>
    <w:rsid w:val="00AD660B"/>
    <w:rsid w:val="00AE6043"/>
    <w:rsid w:val="00AF07BB"/>
    <w:rsid w:val="00AF6AD0"/>
    <w:rsid w:val="00B13BB4"/>
    <w:rsid w:val="00B22156"/>
    <w:rsid w:val="00B2404D"/>
    <w:rsid w:val="00B35918"/>
    <w:rsid w:val="00B50216"/>
    <w:rsid w:val="00B55D65"/>
    <w:rsid w:val="00B60921"/>
    <w:rsid w:val="00B67BFA"/>
    <w:rsid w:val="00B728AD"/>
    <w:rsid w:val="00B76C7D"/>
    <w:rsid w:val="00B8036D"/>
    <w:rsid w:val="00B821C2"/>
    <w:rsid w:val="00BA3EB6"/>
    <w:rsid w:val="00BC32A9"/>
    <w:rsid w:val="00BC3617"/>
    <w:rsid w:val="00BD1798"/>
    <w:rsid w:val="00BE24E0"/>
    <w:rsid w:val="00BF2A57"/>
    <w:rsid w:val="00C037AF"/>
    <w:rsid w:val="00C2176C"/>
    <w:rsid w:val="00C25718"/>
    <w:rsid w:val="00C27EA1"/>
    <w:rsid w:val="00C3510E"/>
    <w:rsid w:val="00C36F42"/>
    <w:rsid w:val="00C4001F"/>
    <w:rsid w:val="00C412A8"/>
    <w:rsid w:val="00C5120E"/>
    <w:rsid w:val="00C55C5C"/>
    <w:rsid w:val="00C609CB"/>
    <w:rsid w:val="00C76F5F"/>
    <w:rsid w:val="00C83438"/>
    <w:rsid w:val="00C84286"/>
    <w:rsid w:val="00C94C5F"/>
    <w:rsid w:val="00C950FD"/>
    <w:rsid w:val="00CA12D0"/>
    <w:rsid w:val="00CA47CE"/>
    <w:rsid w:val="00CA7E5C"/>
    <w:rsid w:val="00CB3E16"/>
    <w:rsid w:val="00CB4770"/>
    <w:rsid w:val="00CB5058"/>
    <w:rsid w:val="00CB55BC"/>
    <w:rsid w:val="00CC1D23"/>
    <w:rsid w:val="00CD6F35"/>
    <w:rsid w:val="00CE7AD6"/>
    <w:rsid w:val="00CF22F6"/>
    <w:rsid w:val="00CF2F06"/>
    <w:rsid w:val="00CF5BF8"/>
    <w:rsid w:val="00D01BCE"/>
    <w:rsid w:val="00D02F09"/>
    <w:rsid w:val="00D046C7"/>
    <w:rsid w:val="00D05347"/>
    <w:rsid w:val="00D064FC"/>
    <w:rsid w:val="00D27083"/>
    <w:rsid w:val="00D32F38"/>
    <w:rsid w:val="00D36063"/>
    <w:rsid w:val="00D41CC3"/>
    <w:rsid w:val="00D61FAE"/>
    <w:rsid w:val="00D70035"/>
    <w:rsid w:val="00D83370"/>
    <w:rsid w:val="00DC32F1"/>
    <w:rsid w:val="00DD0B53"/>
    <w:rsid w:val="00DD16F3"/>
    <w:rsid w:val="00DD32A9"/>
    <w:rsid w:val="00DD346A"/>
    <w:rsid w:val="00DF5C18"/>
    <w:rsid w:val="00E00ED0"/>
    <w:rsid w:val="00E44119"/>
    <w:rsid w:val="00E47DC8"/>
    <w:rsid w:val="00E526E6"/>
    <w:rsid w:val="00E54ED3"/>
    <w:rsid w:val="00E729AF"/>
    <w:rsid w:val="00E8251F"/>
    <w:rsid w:val="00E83724"/>
    <w:rsid w:val="00E85955"/>
    <w:rsid w:val="00EE44BE"/>
    <w:rsid w:val="00EF4FA5"/>
    <w:rsid w:val="00F17FF3"/>
    <w:rsid w:val="00F224C7"/>
    <w:rsid w:val="00F42BE4"/>
    <w:rsid w:val="00F431D3"/>
    <w:rsid w:val="00F9086C"/>
    <w:rsid w:val="00F915A7"/>
    <w:rsid w:val="00FA1D68"/>
    <w:rsid w:val="00FA460F"/>
    <w:rsid w:val="00FA7064"/>
    <w:rsid w:val="00FA7C05"/>
    <w:rsid w:val="00FD02D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BB2"/>
  <w15:docId w15:val="{55A3DCBF-3EAA-C945-808A-59E4362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link w:val="a6"/>
    <w:uiPriority w:val="34"/>
    <w:qFormat/>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uiPriority w:val="9"/>
    <w:rsid w:val="00C36F42"/>
    <w:rPr>
      <w:rFonts w:ascii="Cambria" w:eastAsia="Times New Roman" w:hAnsi="Cambria" w:cs="Times New Roman"/>
      <w:b/>
      <w:bCs/>
      <w:color w:val="000000"/>
      <w:kern w:val="0"/>
      <w:sz w:val="26"/>
      <w:szCs w:val="26"/>
      <w:lang w:val="x-none" w:eastAsia="ru-RU" w:bidi="ar-S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8B221C"/>
    <w:rPr>
      <w:rFonts w:eastAsia="Times New Roman" w:cs="Times New Roman"/>
      <w:kern w:val="0"/>
      <w:lang w:val="ru-RU" w:eastAsia="ru-RU" w:bidi="ar-SA"/>
    </w:rPr>
  </w:style>
  <w:style w:type="character" w:customStyle="1" w:styleId="rvts0">
    <w:name w:val="rvts0"/>
    <w:rsid w:val="00522DAD"/>
    <w:rPr>
      <w:rFonts w:cs="Times New Roman"/>
    </w:rPr>
  </w:style>
  <w:style w:type="character" w:customStyle="1" w:styleId="a6">
    <w:name w:val="Абзац списка Знак"/>
    <w:link w:val="a5"/>
    <w:uiPriority w:val="34"/>
    <w:locked/>
    <w:rsid w:val="0052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86146">
      <w:bodyDiv w:val="1"/>
      <w:marLeft w:val="0"/>
      <w:marRight w:val="0"/>
      <w:marTop w:val="0"/>
      <w:marBottom w:val="0"/>
      <w:divBdr>
        <w:top w:val="none" w:sz="0" w:space="0" w:color="auto"/>
        <w:left w:val="none" w:sz="0" w:space="0" w:color="auto"/>
        <w:bottom w:val="none" w:sz="0" w:space="0" w:color="auto"/>
        <w:right w:val="none" w:sz="0" w:space="0" w:color="auto"/>
      </w:divBdr>
    </w:div>
    <w:div w:id="212738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8CB8-C895-424D-BCDE-F63430C96D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1534</Words>
  <Characters>8748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й</cp:lastModifiedBy>
  <cp:revision>19</cp:revision>
  <cp:lastPrinted>2023-05-17T13:32:00Z</cp:lastPrinted>
  <dcterms:created xsi:type="dcterms:W3CDTF">2023-11-13T12:06:00Z</dcterms:created>
  <dcterms:modified xsi:type="dcterms:W3CDTF">2023-11-14T12:34:00Z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