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Додаток 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B86C1F" w:rsidP="00B86C1F">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с. Виноградівка</w:t>
            </w:r>
          </w:p>
        </w:tc>
        <w:tc>
          <w:tcPr>
            <w:tcW w:w="5240" w:type="dxa"/>
            <w:shd w:val="clear" w:color="auto" w:fill="auto"/>
            <w:vAlign w:val="center"/>
          </w:tcPr>
          <w:p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5D3E8B">
              <w:rPr>
                <w:rFonts w:ascii="Times New Roman" w:eastAsia="Times New Roman" w:hAnsi="Times New Roman" w:cs="Times New Roman"/>
                <w:b/>
                <w:sz w:val="24"/>
                <w:szCs w:val="24"/>
                <w:lang w:val="uk-UA" w:eastAsia="zh-CN"/>
              </w:rPr>
              <w:t>_</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B86C1F"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Виноградівський психоневрологічний інтернат</w:t>
            </w:r>
            <w:r w:rsidR="00D4620C" w:rsidRPr="00D4620C">
              <w:rPr>
                <w:rFonts w:ascii="Times New Roman" w:eastAsia="Times New Roman" w:hAnsi="Times New Roman" w:cs="Times New Roman"/>
                <w:bCs/>
                <w:kern w:val="1"/>
                <w:sz w:val="24"/>
                <w:szCs w:val="24"/>
                <w:lang w:val="uk-UA" w:eastAsia="uk-UA"/>
              </w:rPr>
              <w:t xml:space="preserve">, в особі </w:t>
            </w:r>
            <w:r>
              <w:rPr>
                <w:rFonts w:ascii="Times New Roman" w:eastAsia="Times New Roman" w:hAnsi="Times New Roman" w:cs="Times New Roman"/>
                <w:bCs/>
                <w:kern w:val="1"/>
                <w:sz w:val="24"/>
                <w:szCs w:val="24"/>
                <w:lang w:val="uk-UA" w:eastAsia="uk-UA"/>
              </w:rPr>
              <w:t>_________________________</w:t>
            </w:r>
            <w:r w:rsidR="00D4620C" w:rsidRPr="00D4620C">
              <w:rPr>
                <w:rFonts w:ascii="Times New Roman" w:eastAsia="Times New Roman" w:hAnsi="Times New Roman" w:cs="Times New Roman"/>
                <w:bCs/>
                <w:kern w:val="1"/>
                <w:sz w:val="24"/>
                <w:szCs w:val="24"/>
                <w:lang w:val="uk-UA" w:eastAsia="uk-UA"/>
              </w:rPr>
              <w:t xml:space="preserve"> що діє на підставі </w:t>
            </w:r>
            <w:r>
              <w:rPr>
                <w:rFonts w:ascii="Times New Roman" w:eastAsia="Times New Roman" w:hAnsi="Times New Roman" w:cs="Times New Roman"/>
                <w:bCs/>
                <w:kern w:val="1"/>
                <w:sz w:val="24"/>
                <w:szCs w:val="24"/>
                <w:lang w:val="uk-UA" w:eastAsia="uk-UA"/>
              </w:rPr>
              <w:t>___________</w:t>
            </w:r>
            <w:r w:rsidR="00D4620C" w:rsidRPr="00D4620C">
              <w:rPr>
                <w:rFonts w:ascii="Times New Roman" w:eastAsia="Times New Roman" w:hAnsi="Times New Roman" w:cs="Times New Roman"/>
                <w:bCs/>
                <w:kern w:val="1"/>
                <w:sz w:val="24"/>
                <w:szCs w:val="24"/>
                <w:lang w:val="uk-UA" w:eastAsia="uk-UA"/>
              </w:rPr>
              <w:t xml:space="preserve"> (далі - Замовник)</w:t>
            </w:r>
            <w:r w:rsidR="00D4620C" w:rsidRPr="00D4620C">
              <w:rPr>
                <w:rFonts w:ascii="Times New Roman" w:eastAsia="Times New Roman" w:hAnsi="Times New Roman" w:cs="Times New Roman"/>
                <w:b/>
                <w:bCs/>
                <w:kern w:val="1"/>
                <w:sz w:val="24"/>
                <w:szCs w:val="24"/>
                <w:lang w:val="uk-UA" w:eastAsia="uk-UA"/>
              </w:rPr>
              <w:t>,</w:t>
            </w:r>
            <w:r w:rsidR="00D4620C" w:rsidRPr="00D4620C">
              <w:rPr>
                <w:rFonts w:ascii="Times New Roman" w:eastAsia="Times New Roman" w:hAnsi="Times New Roman" w:cs="Times New Roman"/>
                <w:kern w:val="1"/>
                <w:sz w:val="24"/>
                <w:szCs w:val="24"/>
                <w:lang w:val="uk-UA" w:eastAsia="ar-SA"/>
              </w:rPr>
              <w:t xml:space="preserve"> з однієї сторони, та</w:t>
            </w:r>
          </w:p>
          <w:p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9C0AD1" w:rsidRPr="00B86C1F" w:rsidRDefault="009C0AD1" w:rsidP="009C0AD1">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5D3E8B">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C2491A" w:rsidRPr="00C2491A">
        <w:rPr>
          <w:rFonts w:ascii="Times New Roman" w:hAnsi="Times New Roman"/>
          <w:b/>
          <w:bCs/>
          <w:sz w:val="24"/>
          <w:szCs w:val="24"/>
          <w:lang w:val="uk-UA"/>
        </w:rPr>
        <w:t xml:space="preserve">«Фармацевтична продукція - код Основного словника </w:t>
      </w:r>
      <w:r w:rsidR="00C2491A" w:rsidRPr="00B86C1F">
        <w:rPr>
          <w:rFonts w:ascii="Times New Roman" w:hAnsi="Times New Roman" w:cs="Times New Roman"/>
          <w:b/>
          <w:bCs/>
          <w:sz w:val="24"/>
          <w:szCs w:val="24"/>
          <w:lang w:val="uk-UA"/>
        </w:rPr>
        <w:t>національного класифікатора України ДК 021:2015 "Єдиний закупівельний словник"– 33600000-6 (</w:t>
      </w:r>
      <w:proofErr w:type="spellStart"/>
      <w:r w:rsidR="00790F74">
        <w:rPr>
          <w:rFonts w:ascii="Times New Roman" w:hAnsi="Times New Roman" w:cs="Times New Roman"/>
          <w:b/>
          <w:sz w:val="24"/>
          <w:szCs w:val="24"/>
          <w:lang w:val="en-US"/>
        </w:rPr>
        <w:t>Metamizole</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sodium</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Nitrofural</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Magnesium</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sulfate</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Chlorpromazine</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Loperamide</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Haloperidol</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Ketorolac</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Ketorolac</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Comb</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drug</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Diosmin</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Diclofenac</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Medicinal</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charcoal</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Zinc</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oxide</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Ordinary</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salt</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combinations</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Ambroxol</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Chlorpromazine</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Aciclovir</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Haloperidol</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Dexamethasonum</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Folic</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acid</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Furosemide</w:t>
      </w:r>
      <w:r w:rsidR="00B86C1F" w:rsidRPr="00B86C1F">
        <w:rPr>
          <w:rFonts w:ascii="Times New Roman" w:hAnsi="Times New Roman" w:cs="Times New Roman"/>
          <w:b/>
          <w:sz w:val="24"/>
          <w:szCs w:val="24"/>
          <w:lang w:val="uk-UA"/>
        </w:rPr>
        <w:t>)</w:t>
      </w:r>
      <w:r w:rsidR="00C2491A" w:rsidRPr="00B86C1F">
        <w:rPr>
          <w:rFonts w:ascii="Times New Roman" w:hAnsi="Times New Roman" w:cs="Times New Roman"/>
          <w:b/>
          <w:bCs/>
          <w:sz w:val="24"/>
          <w:szCs w:val="24"/>
          <w:lang w:val="uk-UA"/>
        </w:rPr>
        <w:t>»</w:t>
      </w:r>
    </w:p>
    <w:p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2.6. Поставка товару супроводжується </w:t>
      </w:r>
      <w:r w:rsidR="00AF4D50">
        <w:rPr>
          <w:rFonts w:ascii="Times New Roman" w:eastAsia="Times New Roman" w:hAnsi="Times New Roman" w:cs="Times New Roman"/>
          <w:sz w:val="24"/>
          <w:szCs w:val="24"/>
          <w:lang w:val="uk-UA" w:eastAsia="ar-SA"/>
        </w:rPr>
        <w:t>реєстреційним посвідченням</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w:t>
      </w:r>
      <w:r w:rsidR="00DE3FE9" w:rsidRPr="001E68D4">
        <w:rPr>
          <w:rFonts w:ascii="Times New Roman" w:eastAsia="Times New Roman" w:hAnsi="Times New Roman" w:cs="Times New Roman"/>
          <w:sz w:val="24"/>
          <w:szCs w:val="24"/>
          <w:lang w:val="uk-UA" w:eastAsia="ar-SA"/>
        </w:rPr>
        <w:lastRenderedPageBreak/>
        <w:t xml:space="preserve">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w:t>
      </w:r>
      <w:r w:rsidR="00CE1262">
        <w:rPr>
          <w:rFonts w:ascii="Times New Roman" w:eastAsia="Times New Roman" w:hAnsi="Times New Roman" w:cs="Times New Roman"/>
          <w:sz w:val="24"/>
          <w:szCs w:val="24"/>
          <w:lang w:val="uk-UA"/>
        </w:rPr>
        <w:t>/або</w:t>
      </w:r>
      <w:r w:rsidRPr="001E68D4">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C04F45">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7D1C86"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7D1C86">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7D1C86">
        <w:rPr>
          <w:rFonts w:ascii="Times New Roman" w:eastAsia="Times New Roman" w:hAnsi="Times New Roman" w:cs="Times New Roman"/>
          <w:sz w:val="24"/>
          <w:szCs w:val="24"/>
          <w:lang w:val="uk-UA" w:eastAsia="ar-SA"/>
        </w:rPr>
        <w:t>5.1. Строк поставки  товару - до 31 грудня 202</w:t>
      </w:r>
      <w:r w:rsidR="005D3E8B" w:rsidRPr="007D1C86">
        <w:rPr>
          <w:rFonts w:ascii="Times New Roman" w:eastAsia="Times New Roman" w:hAnsi="Times New Roman" w:cs="Times New Roman"/>
          <w:sz w:val="24"/>
          <w:szCs w:val="24"/>
          <w:lang w:val="uk-UA" w:eastAsia="ar-SA"/>
        </w:rPr>
        <w:t>3</w:t>
      </w:r>
      <w:r w:rsidRPr="007D1C86">
        <w:rPr>
          <w:rFonts w:ascii="Times New Roman" w:eastAsia="Times New Roman" w:hAnsi="Times New Roman" w:cs="Times New Roman"/>
          <w:sz w:val="24"/>
          <w:szCs w:val="24"/>
          <w:lang w:val="uk-UA" w:eastAsia="ar-SA"/>
        </w:rPr>
        <w:t xml:space="preserve"> р.</w:t>
      </w:r>
      <w:r w:rsidRPr="001E68D4">
        <w:rPr>
          <w:rFonts w:ascii="Times New Roman" w:eastAsia="Times New Roman" w:hAnsi="Times New Roman" w:cs="Times New Roman"/>
          <w:sz w:val="24"/>
          <w:szCs w:val="24"/>
          <w:lang w:val="uk-UA" w:eastAsia="ar-SA"/>
        </w:rPr>
        <w:t xml:space="preserve">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7D1C86" w:rsidRPr="007D1C86" w:rsidRDefault="009C0AD1" w:rsidP="007D1C86">
      <w:pPr>
        <w:spacing w:after="0" w:line="240" w:lineRule="auto"/>
        <w:jc w:val="both"/>
        <w:outlineLvl w:val="0"/>
        <w:rPr>
          <w:rFonts w:ascii="Times New Roman CYR" w:hAnsi="Times New Roman CYR" w:cs="Times New Roman CYR"/>
          <w:bCs/>
          <w:sz w:val="24"/>
          <w:szCs w:val="24"/>
          <w:lang w:eastAsia="zh-CN"/>
        </w:rPr>
      </w:pPr>
      <w:r w:rsidRPr="001E68D4">
        <w:rPr>
          <w:rFonts w:ascii="Times New Roman" w:eastAsia="Times New Roman" w:hAnsi="Times New Roman" w:cs="Times New Roman"/>
          <w:sz w:val="24"/>
          <w:szCs w:val="24"/>
          <w:lang w:val="uk-UA" w:eastAsia="ar-SA"/>
        </w:rPr>
        <w:t>5.4</w:t>
      </w:r>
      <w:r w:rsidRPr="007D1C86">
        <w:rPr>
          <w:rFonts w:ascii="Times New Roman" w:eastAsia="Times New Roman" w:hAnsi="Times New Roman" w:cs="Times New Roman"/>
          <w:sz w:val="24"/>
          <w:szCs w:val="24"/>
          <w:lang w:val="uk-UA" w:eastAsia="ar-SA"/>
        </w:rPr>
        <w:t>. Місце поставки  товару –</w:t>
      </w:r>
      <w:r w:rsidR="00365444" w:rsidRPr="007D1C86">
        <w:rPr>
          <w:rFonts w:ascii="Times New Roman" w:eastAsia="Times New Roman" w:hAnsi="Times New Roman" w:cs="Times New Roman"/>
          <w:sz w:val="24"/>
          <w:szCs w:val="24"/>
          <w:lang w:val="uk-UA" w:eastAsia="ar-SA"/>
        </w:rPr>
        <w:t xml:space="preserve"> </w:t>
      </w:r>
      <w:r w:rsidR="007D1C86" w:rsidRPr="007D1C86">
        <w:rPr>
          <w:rFonts w:ascii="Times New Roman CYR" w:hAnsi="Times New Roman CYR" w:cs="Times New Roman CYR"/>
          <w:sz w:val="24"/>
          <w:szCs w:val="24"/>
          <w:lang w:eastAsia="zh-CN"/>
        </w:rPr>
        <w:t xml:space="preserve">32123, </w:t>
      </w:r>
      <w:r w:rsidR="00B44B95">
        <w:rPr>
          <w:rFonts w:ascii="Times New Roman CYR" w:hAnsi="Times New Roman CYR" w:cs="Times New Roman CYR"/>
          <w:sz w:val="24"/>
          <w:szCs w:val="24"/>
          <w:lang w:val="uk-UA" w:eastAsia="zh-CN"/>
        </w:rPr>
        <w:t xml:space="preserve">Україна, </w:t>
      </w:r>
      <w:bookmarkStart w:id="0" w:name="_GoBack"/>
      <w:bookmarkEnd w:id="0"/>
      <w:r w:rsidR="007D1C86" w:rsidRPr="007D1C86">
        <w:rPr>
          <w:rFonts w:ascii="Times New Roman CYR" w:hAnsi="Times New Roman CYR" w:cs="Times New Roman CYR"/>
          <w:sz w:val="24"/>
          <w:szCs w:val="24"/>
          <w:lang w:eastAsia="zh-CN"/>
        </w:rPr>
        <w:t>Хмельницька обл., Хмельницький р-н., с. Виноградівка, вул. Центральна, 15а</w:t>
      </w:r>
      <w:r w:rsidR="007D1C86" w:rsidRPr="007D1C86">
        <w:rPr>
          <w:rFonts w:ascii="Times New Roman CYR" w:hAnsi="Times New Roman CYR" w:cs="Times New Roman CYR"/>
          <w:bCs/>
          <w:sz w:val="24"/>
          <w:szCs w:val="24"/>
          <w:lang w:eastAsia="zh-CN"/>
        </w:rPr>
        <w:t xml:space="preserve"> </w:t>
      </w:r>
    </w:p>
    <w:p w:rsidR="009C0AD1" w:rsidRPr="001E68D4" w:rsidRDefault="009C0AD1" w:rsidP="007D1C86">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7D1C86">
        <w:rPr>
          <w:rFonts w:ascii="Times New Roman" w:eastAsia="Times New Roman" w:hAnsi="Times New Roman" w:cs="Times New Roman"/>
          <w:sz w:val="24"/>
          <w:szCs w:val="24"/>
          <w:lang w:val="uk-UA" w:eastAsia="ar-SA"/>
        </w:rPr>
        <w:t>5.5. Перехід</w:t>
      </w:r>
      <w:r w:rsidRPr="001E68D4">
        <w:rPr>
          <w:rFonts w:ascii="Times New Roman" w:eastAsia="Times New Roman" w:hAnsi="Times New Roman" w:cs="Times New Roman"/>
          <w:sz w:val="24"/>
          <w:szCs w:val="24"/>
          <w:lang w:val="uk-UA" w:eastAsia="ar-SA"/>
        </w:rPr>
        <w:t xml:space="preserve">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w:t>
      </w:r>
      <w:r w:rsidRPr="001E68D4">
        <w:rPr>
          <w:rFonts w:ascii="Times New Roman" w:eastAsia="Times New Roman" w:hAnsi="Times New Roman" w:cs="Times New Roman"/>
          <w:sz w:val="24"/>
          <w:szCs w:val="24"/>
          <w:lang w:val="uk-UA" w:eastAsia="ar-SA"/>
        </w:rPr>
        <w:lastRenderedPageBreak/>
        <w:t>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8.1. Сторони звільняються від відповідальності за часткове чи повне невиконання зобов’язань по </w:t>
      </w:r>
      <w:r w:rsidRPr="001E68D4">
        <w:rPr>
          <w:rFonts w:ascii="Times New Roman" w:eastAsia="Times New Roman" w:hAnsi="Times New Roman" w:cs="Times New Roman"/>
          <w:sz w:val="24"/>
          <w:szCs w:val="24"/>
          <w:lang w:val="uk-UA" w:eastAsia="ar-SA"/>
        </w:rPr>
        <w:lastRenderedPageBreak/>
        <w:t>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781F96">
        <w:rPr>
          <w:rFonts w:ascii="Times New Roman" w:eastAsia="Times New Roman" w:hAnsi="Times New Roman" w:cs="Times New Roman"/>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11.2. Постачальник являється платником податку </w:t>
      </w:r>
      <w:r w:rsidR="00C04F45">
        <w:rPr>
          <w:rFonts w:ascii="Times New Roman" w:eastAsia="Times New Roman" w:hAnsi="Times New Roman" w:cs="Times New Roman"/>
          <w:sz w:val="24"/>
          <w:szCs w:val="24"/>
          <w:lang w:val="uk-UA" w:eastAsia="ar-SA"/>
        </w:rPr>
        <w:t>_________.</w:t>
      </w:r>
    </w:p>
    <w:p w:rsidR="009C0AD1" w:rsidRPr="001E68D4" w:rsidRDefault="00C04F45"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11.3. Замовник є/не </w:t>
      </w:r>
      <w:r w:rsidR="009C0AD1" w:rsidRPr="001E68D4">
        <w:rPr>
          <w:rFonts w:ascii="Times New Roman" w:eastAsia="Times New Roman" w:hAnsi="Times New Roman" w:cs="Times New Roman"/>
          <w:sz w:val="24"/>
          <w:szCs w:val="24"/>
          <w:lang w:val="uk-UA" w:eastAsia="ar-SA"/>
        </w:rPr>
        <w:t xml:space="preserve">є платником податку </w:t>
      </w:r>
      <w:r>
        <w:rPr>
          <w:rFonts w:ascii="Times New Roman" w:eastAsia="Times New Roman" w:hAnsi="Times New Roman" w:cs="Times New Roman"/>
          <w:sz w:val="24"/>
          <w:szCs w:val="24"/>
          <w:lang w:val="uk-UA" w:eastAsia="ar-SA"/>
        </w:rPr>
        <w:t>________.</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sidRPr="001E68D4">
        <w:rPr>
          <w:rFonts w:ascii="Times New Roman" w:eastAsia="Times New Roman" w:hAnsi="Times New Roman" w:cs="Times New Roman"/>
          <w:kern w:val="3"/>
          <w:sz w:val="24"/>
          <w:szCs w:val="24"/>
          <w:lang w:val="uk-UA" w:eastAsia="ar-SA"/>
        </w:rPr>
        <w:t>.</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lastRenderedPageBreak/>
        <w:t>3) укладення договору про закупівлю в період оскарження відкритих торгів відповідно до статті 18 Закону та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781F96">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D4620C" w:rsidTr="000F17E0">
        <w:trPr>
          <w:trHeight w:val="3894"/>
        </w:trPr>
        <w:tc>
          <w:tcPr>
            <w:tcW w:w="5003" w:type="dxa"/>
            <w:shd w:val="clear" w:color="auto" w:fill="auto"/>
          </w:tcPr>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B86C1F" w:rsidRPr="00D4620C" w:rsidRDefault="00B86C1F" w:rsidP="00B86C1F">
            <w:pPr>
              <w:widowControl w:val="0"/>
              <w:suppressAutoHyphens/>
              <w:autoSpaceDE w:val="0"/>
              <w:spacing w:after="0" w:line="240" w:lineRule="auto"/>
              <w:contextualSpacing/>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w:t>
            </w:r>
          </w:p>
          <w:p w:rsidR="00B86C1F" w:rsidRPr="00D4620C" w:rsidRDefault="00B86C1F" w:rsidP="00B86C1F">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86C1F" w:rsidRPr="00D4620C" w:rsidRDefault="00B86C1F" w:rsidP="00B86C1F">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B86C1F" w:rsidRPr="00D4620C" w:rsidRDefault="00B86C1F" w:rsidP="00B86C1F">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B86C1F" w:rsidRPr="00D4620C" w:rsidRDefault="00B86C1F" w:rsidP="00B86C1F">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86C1F" w:rsidRPr="00D4620C" w:rsidRDefault="00B86C1F" w:rsidP="00B86C1F">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B86C1F" w:rsidP="00B86C1F">
            <w:pPr>
              <w:suppressAutoHyphens/>
              <w:spacing w:after="0" w:line="240" w:lineRule="auto"/>
              <w:rPr>
                <w:rFonts w:ascii="Times New Roman" w:eastAsia="Times New Roman" w:hAnsi="Times New Roman" w:cs="Times New Roman"/>
                <w:kern w:val="1"/>
                <w:sz w:val="24"/>
                <w:szCs w:val="24"/>
                <w:lang w:val="uk-UA" w:eastAsia="ar-SA"/>
              </w:rPr>
            </w:pPr>
            <w:r w:rsidRPr="00D4620C">
              <w:rPr>
                <w:rFonts w:ascii="Times New Roman" w:eastAsia="Arial" w:hAnsi="Times New Roman" w:cs="Times New Roman"/>
                <w:color w:val="000000"/>
                <w:kern w:val="1"/>
                <w:sz w:val="24"/>
                <w:szCs w:val="24"/>
                <w:lang w:val="uk-UA" w:eastAsia="zh-CN"/>
              </w:rPr>
              <w:t xml:space="preserve">м.п.  </w:t>
            </w:r>
          </w:p>
          <w:p w:rsidR="00B86C1F" w:rsidRPr="00D4620C" w:rsidRDefault="00B86C1F" w:rsidP="00B86C1F">
            <w:pPr>
              <w:suppressAutoHyphens/>
              <w:spacing w:after="0" w:line="240" w:lineRule="auto"/>
              <w:rPr>
                <w:rFonts w:ascii="Times New Roman" w:eastAsia="Arial" w:hAnsi="Times New Roman" w:cs="Times New Roman"/>
                <w:color w:val="000000"/>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rsidR="00D4620C" w:rsidRPr="00D4620C" w:rsidRDefault="00D4620C" w:rsidP="00D4620C">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D4620C">
        <w:rPr>
          <w:rFonts w:ascii="Times New Roman CYR" w:eastAsia="Times New Roman" w:hAnsi="Times New Roman CYR" w:cs="Times New Roman CYR"/>
          <w:b/>
          <w:sz w:val="24"/>
          <w:szCs w:val="24"/>
          <w:lang w:val="uk-UA" w:eastAsia="ar-SA"/>
        </w:rPr>
        <w:t>_</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E16B1F" w:rsidRPr="00B86C1F" w:rsidRDefault="009C0AD1"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sidRPr="001E68D4">
        <w:rPr>
          <w:rFonts w:ascii="Times New Roman CYR" w:eastAsia="Times New Roman" w:hAnsi="Times New Roman CYR" w:cs="Times New Roman CYR"/>
          <w:b/>
          <w:sz w:val="24"/>
          <w:szCs w:val="24"/>
          <w:lang w:val="uk-UA" w:eastAsia="ar-SA"/>
        </w:rPr>
        <w:t xml:space="preserve">на закупівлю: </w:t>
      </w:r>
      <w:r w:rsidR="00C2491A" w:rsidRPr="00C2491A">
        <w:rPr>
          <w:rFonts w:ascii="Times New Roman" w:hAnsi="Times New Roman"/>
          <w:b/>
          <w:bCs/>
          <w:sz w:val="24"/>
          <w:szCs w:val="24"/>
          <w:lang w:val="uk-UA"/>
        </w:rPr>
        <w:t xml:space="preserve">«Фармацевтична </w:t>
      </w:r>
      <w:r w:rsidR="00C2491A" w:rsidRPr="00B86C1F">
        <w:rPr>
          <w:rFonts w:ascii="Times New Roman" w:hAnsi="Times New Roman" w:cs="Times New Roman"/>
          <w:b/>
          <w:bCs/>
          <w:sz w:val="24"/>
          <w:szCs w:val="24"/>
          <w:lang w:val="uk-UA"/>
        </w:rPr>
        <w:t>продукція - код Основного словника національного класифікатора України ДК 021:2015 "Єдиний закупівельний словник"– 33600000-6 (</w:t>
      </w:r>
      <w:proofErr w:type="spellStart"/>
      <w:r w:rsidR="00790F74">
        <w:rPr>
          <w:rFonts w:ascii="Times New Roman" w:hAnsi="Times New Roman" w:cs="Times New Roman"/>
          <w:b/>
          <w:sz w:val="24"/>
          <w:szCs w:val="24"/>
          <w:lang w:val="en-US"/>
        </w:rPr>
        <w:t>Metamizole</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sodium</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Nitrofural</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Magnesium</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sulfate</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Chlorpromazine</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Loperamide</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Haloperidol</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Ketorolac</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Ketorolac</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Comb</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drug</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Diosmin</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Diclofenac</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Medicinal</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charcoal</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Zinc</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oxide</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Ordinary</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salt</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combinations</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Ambroxol</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Chlorpromazine</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Aciclovir</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Haloperidol</w:t>
      </w:r>
      <w:r w:rsidR="00790F74">
        <w:rPr>
          <w:rFonts w:ascii="Times New Roman" w:hAnsi="Times New Roman" w:cs="Times New Roman"/>
          <w:b/>
          <w:sz w:val="24"/>
          <w:szCs w:val="24"/>
          <w:lang w:val="uk-UA"/>
        </w:rPr>
        <w:t xml:space="preserve">, </w:t>
      </w:r>
      <w:proofErr w:type="spellStart"/>
      <w:r w:rsidR="00790F74">
        <w:rPr>
          <w:rFonts w:ascii="Times New Roman" w:hAnsi="Times New Roman" w:cs="Times New Roman"/>
          <w:b/>
          <w:sz w:val="24"/>
          <w:szCs w:val="24"/>
          <w:lang w:val="en-US"/>
        </w:rPr>
        <w:t>Dexamethasonum</w:t>
      </w:r>
      <w:proofErr w:type="spellEnd"/>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Folic</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acid</w:t>
      </w:r>
      <w:r w:rsidR="00790F74">
        <w:rPr>
          <w:rFonts w:ascii="Times New Roman" w:hAnsi="Times New Roman" w:cs="Times New Roman"/>
          <w:b/>
          <w:sz w:val="24"/>
          <w:szCs w:val="24"/>
          <w:lang w:val="uk-UA"/>
        </w:rPr>
        <w:t xml:space="preserve">, </w:t>
      </w:r>
      <w:r w:rsidR="00790F74">
        <w:rPr>
          <w:rFonts w:ascii="Times New Roman" w:hAnsi="Times New Roman" w:cs="Times New Roman"/>
          <w:b/>
          <w:sz w:val="24"/>
          <w:szCs w:val="24"/>
          <w:lang w:val="en-US"/>
        </w:rPr>
        <w:t>Furosemide</w:t>
      </w:r>
      <w:r w:rsidR="00C2491A" w:rsidRPr="00B86C1F">
        <w:rPr>
          <w:rFonts w:ascii="Times New Roman" w:hAnsi="Times New Roman" w:cs="Times New Roman"/>
          <w:b/>
          <w:bCs/>
          <w:sz w:val="24"/>
          <w:szCs w:val="24"/>
          <w:lang w:val="uk-UA"/>
        </w:rPr>
        <w:t>)»</w:t>
      </w: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018"/>
        <w:gridCol w:w="100"/>
        <w:gridCol w:w="1134"/>
        <w:gridCol w:w="1134"/>
        <w:gridCol w:w="1579"/>
        <w:gridCol w:w="1072"/>
        <w:gridCol w:w="43"/>
        <w:gridCol w:w="1579"/>
        <w:gridCol w:w="1579"/>
      </w:tblGrid>
      <w:tr w:rsidR="00B900E9" w:rsidRPr="00CD26BD"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Міжнародна непатентована назва</w:t>
            </w:r>
          </w:p>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Найменша 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blPrEx>
          <w:tblCellMar>
            <w:top w:w="80" w:type="dxa"/>
            <w:left w:w="80" w:type="dxa"/>
            <w:bottom w:w="80" w:type="dxa"/>
            <w:right w:w="80" w:type="dxa"/>
          </w:tblCellMar>
        </w:tblPrEx>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900E9" w:rsidRPr="00D4620C" w:rsidTr="00B900E9">
        <w:tblPrEx>
          <w:tblCellMar>
            <w:left w:w="108" w:type="dxa"/>
            <w:right w:w="108" w:type="dxa"/>
          </w:tblCellMar>
        </w:tblPrEx>
        <w:trPr>
          <w:gridBefore w:val="2"/>
          <w:gridAfter w:val="3"/>
          <w:wBefore w:w="2268" w:type="dxa"/>
          <w:wAfter w:w="3201" w:type="dxa"/>
          <w:trHeight w:val="3894"/>
        </w:trPr>
        <w:tc>
          <w:tcPr>
            <w:tcW w:w="5003" w:type="dxa"/>
            <w:gridSpan w:val="2"/>
            <w:shd w:val="clear" w:color="auto" w:fill="auto"/>
          </w:tcPr>
          <w:p w:rsidR="00B900E9" w:rsidRPr="00D4620C" w:rsidRDefault="00B900E9" w:rsidP="00317F1E">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86C1F" w:rsidRPr="00D4620C" w:rsidRDefault="00B86C1F" w:rsidP="00B86C1F">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86C1F" w:rsidRPr="00D4620C" w:rsidRDefault="00B86C1F" w:rsidP="00B86C1F">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86C1F" w:rsidRPr="00D4620C" w:rsidRDefault="00B86C1F" w:rsidP="00B86C1F">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B86C1F" w:rsidRPr="00D4620C" w:rsidRDefault="00B86C1F" w:rsidP="00B86C1F">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B86C1F" w:rsidRPr="00D4620C" w:rsidRDefault="00B86C1F" w:rsidP="00B86C1F">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86C1F" w:rsidRPr="00D4620C" w:rsidRDefault="00B86C1F" w:rsidP="00B86C1F">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B900E9" w:rsidRPr="00D4620C" w:rsidRDefault="00B86C1F" w:rsidP="00B86C1F">
            <w:pPr>
              <w:suppressAutoHyphens/>
              <w:spacing w:after="0" w:line="240" w:lineRule="auto"/>
              <w:rPr>
                <w:rFonts w:ascii="Times New Roman" w:eastAsia="Times New Roman" w:hAnsi="Times New Roman" w:cs="Times New Roman"/>
                <w:kern w:val="1"/>
                <w:sz w:val="24"/>
                <w:szCs w:val="24"/>
                <w:lang w:val="uk-UA" w:eastAsia="ar-SA"/>
              </w:rPr>
            </w:pPr>
            <w:r w:rsidRPr="00D4620C">
              <w:rPr>
                <w:rFonts w:ascii="Times New Roman" w:eastAsia="Arial" w:hAnsi="Times New Roman" w:cs="Times New Roman"/>
                <w:color w:val="000000"/>
                <w:kern w:val="1"/>
                <w:sz w:val="24"/>
                <w:szCs w:val="24"/>
                <w:lang w:val="uk-UA" w:eastAsia="zh-CN"/>
              </w:rPr>
              <w:t xml:space="preserve">м.п.  </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 </w:t>
            </w:r>
          </w:p>
        </w:tc>
        <w:tc>
          <w:tcPr>
            <w:tcW w:w="5019" w:type="dxa"/>
            <w:gridSpan w:val="5"/>
            <w:shd w:val="clear" w:color="auto" w:fill="auto"/>
          </w:tcPr>
          <w:p w:rsidR="00B900E9" w:rsidRPr="00D4620C" w:rsidRDefault="00B900E9" w:rsidP="00317F1E">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B900E9" w:rsidRPr="00D4620C" w:rsidRDefault="00B900E9" w:rsidP="00317F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961E1"/>
    <w:rsid w:val="00013580"/>
    <w:rsid w:val="000141D2"/>
    <w:rsid w:val="00046EC6"/>
    <w:rsid w:val="000C7DFF"/>
    <w:rsid w:val="000D2BFB"/>
    <w:rsid w:val="000E4186"/>
    <w:rsid w:val="000F3CAB"/>
    <w:rsid w:val="00142DED"/>
    <w:rsid w:val="001B2713"/>
    <w:rsid w:val="001E68D4"/>
    <w:rsid w:val="00206755"/>
    <w:rsid w:val="0021043B"/>
    <w:rsid w:val="00290E04"/>
    <w:rsid w:val="002C0D9E"/>
    <w:rsid w:val="002F3ABC"/>
    <w:rsid w:val="003306C6"/>
    <w:rsid w:val="00365444"/>
    <w:rsid w:val="00377710"/>
    <w:rsid w:val="0038720D"/>
    <w:rsid w:val="003F0AC6"/>
    <w:rsid w:val="004029C5"/>
    <w:rsid w:val="004126D7"/>
    <w:rsid w:val="00436C3B"/>
    <w:rsid w:val="0048599C"/>
    <w:rsid w:val="00493E04"/>
    <w:rsid w:val="004B08EA"/>
    <w:rsid w:val="00505C8C"/>
    <w:rsid w:val="005A24FD"/>
    <w:rsid w:val="005D3E8B"/>
    <w:rsid w:val="00607EF0"/>
    <w:rsid w:val="00645D86"/>
    <w:rsid w:val="00691EA1"/>
    <w:rsid w:val="006961E1"/>
    <w:rsid w:val="006A34A3"/>
    <w:rsid w:val="006A77CF"/>
    <w:rsid w:val="006D714B"/>
    <w:rsid w:val="00722087"/>
    <w:rsid w:val="007623D9"/>
    <w:rsid w:val="00781F96"/>
    <w:rsid w:val="00790F74"/>
    <w:rsid w:val="007A6DD2"/>
    <w:rsid w:val="007B5D47"/>
    <w:rsid w:val="007C6F8C"/>
    <w:rsid w:val="007D1C86"/>
    <w:rsid w:val="007E53CF"/>
    <w:rsid w:val="007F24E4"/>
    <w:rsid w:val="00805647"/>
    <w:rsid w:val="00852372"/>
    <w:rsid w:val="00883E90"/>
    <w:rsid w:val="00905E4F"/>
    <w:rsid w:val="009A22E7"/>
    <w:rsid w:val="009B0315"/>
    <w:rsid w:val="009C0AD1"/>
    <w:rsid w:val="009D5244"/>
    <w:rsid w:val="00A311D8"/>
    <w:rsid w:val="00A34106"/>
    <w:rsid w:val="00A81A41"/>
    <w:rsid w:val="00A85CCB"/>
    <w:rsid w:val="00AB323E"/>
    <w:rsid w:val="00AD639A"/>
    <w:rsid w:val="00AE0417"/>
    <w:rsid w:val="00AF4D50"/>
    <w:rsid w:val="00B44B95"/>
    <w:rsid w:val="00B50037"/>
    <w:rsid w:val="00B86C1F"/>
    <w:rsid w:val="00B900E9"/>
    <w:rsid w:val="00BC4F77"/>
    <w:rsid w:val="00BD291F"/>
    <w:rsid w:val="00C0480D"/>
    <w:rsid w:val="00C04F45"/>
    <w:rsid w:val="00C141FE"/>
    <w:rsid w:val="00C173C2"/>
    <w:rsid w:val="00C2491A"/>
    <w:rsid w:val="00C262FF"/>
    <w:rsid w:val="00C445E9"/>
    <w:rsid w:val="00C76FDE"/>
    <w:rsid w:val="00C87951"/>
    <w:rsid w:val="00C94A06"/>
    <w:rsid w:val="00CD0B76"/>
    <w:rsid w:val="00CE1262"/>
    <w:rsid w:val="00D4620C"/>
    <w:rsid w:val="00D528DC"/>
    <w:rsid w:val="00DC1646"/>
    <w:rsid w:val="00DE3FE9"/>
    <w:rsid w:val="00E16B1F"/>
    <w:rsid w:val="00E424E4"/>
    <w:rsid w:val="00E476FD"/>
    <w:rsid w:val="00E54C90"/>
    <w:rsid w:val="00E56832"/>
    <w:rsid w:val="00E578D8"/>
    <w:rsid w:val="00E8639B"/>
    <w:rsid w:val="00EA2B20"/>
    <w:rsid w:val="00EB4EB1"/>
    <w:rsid w:val="00EE31B8"/>
    <w:rsid w:val="00F0789B"/>
    <w:rsid w:val="00F92CF4"/>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7B22"/>
  <w15:docId w15:val="{F3CB92EE-52B2-4368-B712-354CB4AD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D35C-AD33-428D-896C-D61C554B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2757</Words>
  <Characters>15719</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79</cp:revision>
  <dcterms:created xsi:type="dcterms:W3CDTF">2020-02-13T13:17:00Z</dcterms:created>
  <dcterms:modified xsi:type="dcterms:W3CDTF">2023-03-31T11:02:00Z</dcterms:modified>
</cp:coreProperties>
</file>