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35" w:rsidRPr="00CB7982" w:rsidRDefault="00990135" w:rsidP="00990135">
      <w:pPr>
        <w:spacing w:after="0" w:line="240" w:lineRule="auto"/>
        <w:jc w:val="both"/>
        <w:rPr>
          <w:sz w:val="24"/>
          <w:szCs w:val="24"/>
        </w:rPr>
      </w:pPr>
    </w:p>
    <w:p w:rsidR="00990135" w:rsidRPr="00446CB8" w:rsidRDefault="00990135" w:rsidP="00990135">
      <w:pPr>
        <w:keepNext/>
        <w:widowControl w:val="0"/>
        <w:spacing w:after="0"/>
        <w:ind w:left="680"/>
        <w:jc w:val="right"/>
        <w:outlineLvl w:val="1"/>
        <w:rPr>
          <w:rFonts w:eastAsiaTheme="minorEastAsia"/>
          <w:b/>
          <w:bCs/>
          <w:kern w:val="2"/>
          <w:sz w:val="24"/>
          <w:szCs w:val="24"/>
          <w:lang w:eastAsia="uk-UA"/>
        </w:rPr>
      </w:pPr>
      <w:r w:rsidRPr="00446CB8">
        <w:rPr>
          <w:rFonts w:eastAsiaTheme="minorEastAsia"/>
          <w:b/>
          <w:bCs/>
          <w:kern w:val="2"/>
          <w:sz w:val="24"/>
          <w:szCs w:val="24"/>
          <w:lang w:eastAsia="uk-UA"/>
        </w:rPr>
        <w:t>Додаток № 3</w:t>
      </w:r>
    </w:p>
    <w:p w:rsidR="00990135" w:rsidRPr="00446CB8" w:rsidRDefault="00990135" w:rsidP="00990135">
      <w:pPr>
        <w:spacing w:after="0" w:line="240" w:lineRule="auto"/>
        <w:ind w:left="3969"/>
        <w:jc w:val="right"/>
        <w:rPr>
          <w:rFonts w:eastAsia="Arial"/>
          <w:color w:val="000000"/>
          <w:sz w:val="24"/>
          <w:szCs w:val="24"/>
        </w:rPr>
      </w:pPr>
      <w:r w:rsidRPr="00446CB8">
        <w:rPr>
          <w:rFonts w:eastAsia="Arial"/>
          <w:color w:val="000000"/>
          <w:sz w:val="24"/>
          <w:szCs w:val="24"/>
        </w:rPr>
        <w:t>д</w:t>
      </w:r>
      <w:r w:rsidRPr="00F77162">
        <w:rPr>
          <w:rFonts w:eastAsia="Arial"/>
          <w:color w:val="000000"/>
          <w:sz w:val="24"/>
          <w:szCs w:val="24"/>
        </w:rPr>
        <w:t>о тендерної документації</w:t>
      </w:r>
    </w:p>
    <w:p w:rsidR="00F156B4" w:rsidRDefault="00990135" w:rsidP="00F156B4">
      <w:pPr>
        <w:jc w:val="center"/>
        <w:rPr>
          <w:b/>
          <w:color w:val="000000"/>
          <w:sz w:val="24"/>
          <w:szCs w:val="24"/>
        </w:rPr>
      </w:pPr>
      <w:r w:rsidRPr="00446CB8">
        <w:rPr>
          <w:b/>
          <w:color w:val="000000"/>
          <w:sz w:val="24"/>
          <w:szCs w:val="24"/>
        </w:rPr>
        <w:t xml:space="preserve">ДК 021-2015-15110000-2- </w:t>
      </w:r>
      <w:proofErr w:type="spellStart"/>
      <w:r w:rsidRPr="00446CB8">
        <w:rPr>
          <w:b/>
          <w:color w:val="000000"/>
          <w:sz w:val="24"/>
          <w:szCs w:val="24"/>
        </w:rPr>
        <w:t>Мʼясо</w:t>
      </w:r>
      <w:proofErr w:type="spellEnd"/>
      <w:r w:rsidRPr="00446CB8">
        <w:rPr>
          <w:b/>
          <w:color w:val="000000"/>
          <w:sz w:val="24"/>
          <w:szCs w:val="24"/>
        </w:rPr>
        <w:t xml:space="preserve">( </w:t>
      </w:r>
      <w:proofErr w:type="spellStart"/>
      <w:r w:rsidRPr="00446CB8">
        <w:rPr>
          <w:b/>
          <w:color w:val="000000"/>
          <w:sz w:val="24"/>
          <w:szCs w:val="24"/>
        </w:rPr>
        <w:t>Мʼясо</w:t>
      </w:r>
      <w:proofErr w:type="spellEnd"/>
      <w:r w:rsidRPr="00446CB8">
        <w:rPr>
          <w:b/>
          <w:color w:val="000000"/>
          <w:sz w:val="24"/>
          <w:szCs w:val="24"/>
        </w:rPr>
        <w:t xml:space="preserve"> (</w:t>
      </w:r>
      <w:proofErr w:type="spellStart"/>
      <w:r w:rsidRPr="00446CB8">
        <w:rPr>
          <w:b/>
          <w:color w:val="000000"/>
          <w:sz w:val="24"/>
          <w:szCs w:val="24"/>
        </w:rPr>
        <w:t>Мʼясо</w:t>
      </w:r>
      <w:proofErr w:type="spellEnd"/>
      <w:r w:rsidRPr="00446CB8">
        <w:rPr>
          <w:b/>
          <w:color w:val="000000"/>
          <w:sz w:val="24"/>
          <w:szCs w:val="24"/>
        </w:rPr>
        <w:t xml:space="preserve"> свійської птиці (курятина), відповідний код ДК 021-2015-15112130-6-Курятина).</w:t>
      </w:r>
    </w:p>
    <w:p w:rsidR="00990135" w:rsidRPr="00F156B4" w:rsidRDefault="00990135" w:rsidP="00F156B4">
      <w:pPr>
        <w:jc w:val="center"/>
        <w:rPr>
          <w:b/>
          <w:color w:val="000000"/>
          <w:sz w:val="24"/>
          <w:szCs w:val="24"/>
        </w:rPr>
      </w:pPr>
      <w:r w:rsidRPr="00446CB8">
        <w:rPr>
          <w:rFonts w:eastAsiaTheme="minorEastAsia"/>
          <w:b/>
          <w:bCs/>
          <w:kern w:val="2"/>
          <w:sz w:val="24"/>
          <w:szCs w:val="24"/>
          <w:lang w:eastAsia="uk-UA"/>
        </w:rPr>
        <w:t>Технічні, якісні та кількісні характеристики предмета закупівлі</w:t>
      </w:r>
    </w:p>
    <w:p w:rsidR="00990135" w:rsidRPr="00446CB8" w:rsidRDefault="00990135" w:rsidP="00990135">
      <w:pPr>
        <w:jc w:val="center"/>
        <w:rPr>
          <w:color w:val="000000"/>
          <w:sz w:val="22"/>
          <w:szCs w:val="24"/>
          <w:lang w:eastAsia="uk-UA"/>
        </w:rPr>
      </w:pPr>
    </w:p>
    <w:tbl>
      <w:tblPr>
        <w:tblStyle w:val="2"/>
        <w:tblW w:w="0" w:type="auto"/>
        <w:tblInd w:w="-34" w:type="dxa"/>
        <w:tblLook w:val="04A0" w:firstRow="1" w:lastRow="0" w:firstColumn="1" w:lastColumn="0" w:noHBand="0" w:noVBand="1"/>
      </w:tblPr>
      <w:tblGrid>
        <w:gridCol w:w="2629"/>
        <w:gridCol w:w="7260"/>
      </w:tblGrid>
      <w:tr w:rsidR="00990135" w:rsidRPr="00446CB8" w:rsidTr="00D041B7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35" w:rsidRPr="00446CB8" w:rsidRDefault="00990135" w:rsidP="00D041B7">
            <w:pPr>
              <w:tabs>
                <w:tab w:val="left" w:pos="84"/>
                <w:tab w:val="left" w:pos="497"/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right="127"/>
              <w:jc w:val="both"/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</w:pPr>
            <w:bookmarkStart w:id="0" w:name="_Hlk8204490"/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>ХАРАКТЕРИСТИКА</w:t>
            </w:r>
          </w:p>
          <w:p w:rsidR="00990135" w:rsidRPr="00446CB8" w:rsidRDefault="00990135" w:rsidP="00D041B7">
            <w:pPr>
              <w:tabs>
                <w:tab w:val="left" w:pos="84"/>
                <w:tab w:val="left" w:pos="497"/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right="127"/>
              <w:jc w:val="both"/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</w:pPr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>ТОВАРУ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35" w:rsidRPr="00446CB8" w:rsidRDefault="00990135" w:rsidP="00D041B7">
            <w:pPr>
              <w:tabs>
                <w:tab w:val="left" w:pos="84"/>
                <w:tab w:val="left" w:pos="497"/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right="127"/>
              <w:jc w:val="both"/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</w:pPr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 xml:space="preserve">ПРИКЛАДИ </w:t>
            </w:r>
          </w:p>
          <w:p w:rsidR="00990135" w:rsidRPr="00446CB8" w:rsidRDefault="00990135" w:rsidP="00D041B7">
            <w:pPr>
              <w:tabs>
                <w:tab w:val="left" w:pos="84"/>
                <w:tab w:val="left" w:pos="497"/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right="127"/>
              <w:jc w:val="both"/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</w:pPr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>ЗНАЧЕНЬ</w:t>
            </w:r>
          </w:p>
        </w:tc>
      </w:tr>
      <w:tr w:rsidR="00990135" w:rsidRPr="00446CB8" w:rsidTr="00D041B7">
        <w:trPr>
          <w:trHeight w:val="333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35" w:rsidRPr="00446CB8" w:rsidRDefault="00990135" w:rsidP="00D041B7">
            <w:pPr>
              <w:tabs>
                <w:tab w:val="left" w:pos="84"/>
                <w:tab w:val="left" w:pos="497"/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right="127"/>
              <w:jc w:val="both"/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</w:pPr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 xml:space="preserve">Категорія 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35" w:rsidRPr="00446CB8" w:rsidRDefault="00990135" w:rsidP="00D041B7">
            <w:pPr>
              <w:tabs>
                <w:tab w:val="left" w:pos="84"/>
                <w:tab w:val="left" w:pos="497"/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right="127"/>
              <w:jc w:val="both"/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</w:pPr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 xml:space="preserve">1 КАТЕГОРІЯ </w:t>
            </w:r>
          </w:p>
        </w:tc>
      </w:tr>
      <w:tr w:rsidR="00990135" w:rsidRPr="00446CB8" w:rsidTr="00D041B7">
        <w:trPr>
          <w:trHeight w:val="3492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35" w:rsidRPr="00446CB8" w:rsidRDefault="00990135" w:rsidP="00D041B7">
            <w:pPr>
              <w:tabs>
                <w:tab w:val="left" w:pos="84"/>
                <w:tab w:val="left" w:pos="497"/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right="127"/>
              <w:jc w:val="both"/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</w:pPr>
            <w:bookmarkStart w:id="1" w:name="_Hlk26432233"/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>Якість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5" w:rsidRPr="00446CB8" w:rsidRDefault="00990135" w:rsidP="00D041B7">
            <w:pPr>
              <w:tabs>
                <w:tab w:val="left" w:pos="84"/>
                <w:tab w:val="left" w:pos="497"/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right="127"/>
              <w:jc w:val="both"/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</w:pPr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>Технічні та якісні характеристики предмета заку</w:t>
            </w:r>
            <w:r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 xml:space="preserve">півлі повинні відповідати ДСТУ, </w:t>
            </w:r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 xml:space="preserve">ТУ, Законів України та інших нормативно-правових актів, діючих на території України, а саме: </w:t>
            </w:r>
          </w:p>
          <w:p w:rsidR="00990135" w:rsidRPr="00446CB8" w:rsidRDefault="00990135" w:rsidP="00D041B7">
            <w:pPr>
              <w:tabs>
                <w:tab w:val="left" w:pos="84"/>
                <w:tab w:val="left" w:pos="497"/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right="127"/>
              <w:jc w:val="both"/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</w:pPr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>ДСТУ 3143:2013- М'ясо птиці. Загальні технічні умови (Філе куряче. Гомі</w:t>
            </w:r>
            <w:r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>лка</w:t>
            </w:r>
            <w:r w:rsidR="00726FC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>. Тушка ціла куряча.</w:t>
            </w:r>
            <w:bookmarkStart w:id="2" w:name="_GoBack"/>
            <w:bookmarkEnd w:id="2"/>
            <w:r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 xml:space="preserve"> </w:t>
            </w:r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>);</w:t>
            </w:r>
          </w:p>
          <w:p w:rsidR="00990135" w:rsidRPr="00446CB8" w:rsidRDefault="00990135" w:rsidP="00D041B7">
            <w:pPr>
              <w:tabs>
                <w:tab w:val="left" w:pos="84"/>
                <w:tab w:val="left" w:pos="497"/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right="127"/>
              <w:jc w:val="both"/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</w:pPr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 xml:space="preserve">А також, нормам та положенням, установленим: </w:t>
            </w:r>
          </w:p>
          <w:p w:rsidR="00990135" w:rsidRPr="00446CB8" w:rsidRDefault="00990135" w:rsidP="00D041B7">
            <w:pPr>
              <w:tabs>
                <w:tab w:val="left" w:pos="84"/>
                <w:tab w:val="left" w:pos="497"/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right="127"/>
              <w:jc w:val="both"/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</w:pPr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>Законом України «Про основні принципи та вимоги до безпечності та якості харчових продуктів» від 23 грудня 1997 року № 771/97-ВР із змінами;</w:t>
            </w:r>
          </w:p>
          <w:p w:rsidR="00990135" w:rsidRPr="00446CB8" w:rsidRDefault="00990135" w:rsidP="00D041B7">
            <w:pPr>
              <w:tabs>
                <w:tab w:val="left" w:pos="84"/>
                <w:tab w:val="left" w:pos="497"/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right="127"/>
              <w:jc w:val="both"/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</w:pPr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>Законом України «Про безпечність та якість харчових продуктів» від 23.12.1997 № 771/97-ВР.</w:t>
            </w:r>
          </w:p>
        </w:tc>
      </w:tr>
      <w:bookmarkEnd w:id="1"/>
      <w:tr w:rsidR="00990135" w:rsidRPr="00446CB8" w:rsidTr="00D041B7">
        <w:trPr>
          <w:trHeight w:val="267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35" w:rsidRPr="00446CB8" w:rsidRDefault="00990135" w:rsidP="00D041B7">
            <w:pPr>
              <w:tabs>
                <w:tab w:val="left" w:pos="84"/>
                <w:tab w:val="left" w:pos="497"/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right="127"/>
              <w:jc w:val="both"/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</w:pPr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>Термообробка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35" w:rsidRPr="00446CB8" w:rsidRDefault="00990135" w:rsidP="00D041B7">
            <w:pPr>
              <w:tabs>
                <w:tab w:val="left" w:pos="84"/>
                <w:tab w:val="left" w:pos="497"/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right="127"/>
              <w:jc w:val="both"/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</w:pPr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>Охолоджене (м’ясо птиці, яке зберігає протягом усього періоду                       після забивання птиці і подальшого охолодження внутрішню температуру  від  мінус 2 град. С до плюс 4 град. С  включно).</w:t>
            </w:r>
          </w:p>
          <w:p w:rsidR="00990135" w:rsidRPr="00446CB8" w:rsidRDefault="00990135" w:rsidP="00D041B7">
            <w:pPr>
              <w:tabs>
                <w:tab w:val="left" w:pos="84"/>
                <w:tab w:val="left" w:pos="497"/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right="127"/>
              <w:jc w:val="both"/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</w:pPr>
          </w:p>
        </w:tc>
      </w:tr>
      <w:tr w:rsidR="00990135" w:rsidRPr="00446CB8" w:rsidTr="00D041B7">
        <w:trPr>
          <w:trHeight w:val="524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35" w:rsidRPr="00446CB8" w:rsidRDefault="00990135" w:rsidP="00D041B7">
            <w:pPr>
              <w:tabs>
                <w:tab w:val="left" w:pos="84"/>
                <w:tab w:val="left" w:pos="497"/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right="127"/>
              <w:jc w:val="both"/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</w:pPr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>Оцінка якості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35" w:rsidRPr="00446CB8" w:rsidRDefault="00990135" w:rsidP="00D041B7">
            <w:pPr>
              <w:tabs>
                <w:tab w:val="left" w:pos="84"/>
                <w:tab w:val="left" w:pos="497"/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right="127"/>
              <w:jc w:val="both"/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</w:pPr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 xml:space="preserve">Філе куряче.  М'ясо охолоджене чи свіже, без великої кількості жиру. Пружне, при натискуванні швидко приймає первинну форму. Зовнішня поверхня суха, не завітрена. Без згустків крові. </w:t>
            </w:r>
          </w:p>
          <w:p w:rsidR="00990135" w:rsidRPr="00446CB8" w:rsidRDefault="00990135" w:rsidP="00D041B7">
            <w:pPr>
              <w:tabs>
                <w:tab w:val="left" w:pos="84"/>
                <w:tab w:val="left" w:pos="497"/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right="127"/>
              <w:jc w:val="both"/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</w:pPr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>Не допускаються дрібні шматки та обрізки.</w:t>
            </w:r>
          </w:p>
          <w:p w:rsidR="00990135" w:rsidRPr="00446CB8" w:rsidRDefault="00990135" w:rsidP="00D041B7">
            <w:pPr>
              <w:tabs>
                <w:tab w:val="left" w:pos="84"/>
                <w:tab w:val="left" w:pos="497"/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right="127"/>
              <w:jc w:val="both"/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</w:pPr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 xml:space="preserve">Гомілка куряча. М'ясо охолоджене чи свіже, без великої кількості жиру. Пружне, при натискуванні швидко приймає первинну форму. Зовнішня поверхня суха, не завітрена. Без згустків крові. З повністю видаленим оперенням. </w:t>
            </w:r>
          </w:p>
          <w:p w:rsidR="00990135" w:rsidRPr="00F156B4" w:rsidRDefault="00F156B4" w:rsidP="00D041B7">
            <w:pPr>
              <w:tabs>
                <w:tab w:val="left" w:pos="84"/>
                <w:tab w:val="left" w:pos="497"/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right="127"/>
              <w:jc w:val="both"/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</w:pPr>
            <w:r w:rsidRPr="00F156B4">
              <w:rPr>
                <w:rFonts w:eastAsia="Calibri"/>
                <w:sz w:val="24"/>
                <w:szCs w:val="24"/>
                <w:shd w:val="solid" w:color="FFFFFF" w:fill="FFFFFF"/>
                <w:lang w:eastAsia="en-US"/>
              </w:rPr>
              <w:t>Ціла тушка куряча. М'ясо охолоджене чи свіже, без великої кількості жиру. Пружне, при натискуванні швидко приймає первинну форму. Зовнішня поверхня суха, не завітрена. Без згустків крові. З повністю видаленим оперенням. Без залишків кишечника та репродуктивних органів всередині. Добре знекровлені.</w:t>
            </w:r>
          </w:p>
        </w:tc>
      </w:tr>
      <w:tr w:rsidR="00990135" w:rsidRPr="00446CB8" w:rsidTr="00D041B7">
        <w:trPr>
          <w:trHeight w:val="57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5" w:rsidRPr="00446CB8" w:rsidRDefault="00990135" w:rsidP="00D041B7">
            <w:pPr>
              <w:tabs>
                <w:tab w:val="left" w:pos="84"/>
                <w:tab w:val="left" w:pos="497"/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right="127"/>
              <w:jc w:val="both"/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</w:pPr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>Найменування</w:t>
            </w:r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ab/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35" w:rsidRPr="00446CB8" w:rsidRDefault="00990135" w:rsidP="00716A26">
            <w:pPr>
              <w:tabs>
                <w:tab w:val="left" w:pos="84"/>
                <w:tab w:val="left" w:pos="497"/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right="127"/>
              <w:jc w:val="both"/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>Філе куряче. Гомілка куряча</w:t>
            </w:r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 xml:space="preserve">. </w:t>
            </w:r>
            <w:r w:rsidR="00F156B4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>Ціла тушка куряча</w:t>
            </w:r>
          </w:p>
        </w:tc>
      </w:tr>
      <w:tr w:rsidR="00990135" w:rsidRPr="00446CB8" w:rsidTr="00D041B7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5" w:rsidRPr="00446CB8" w:rsidRDefault="00990135" w:rsidP="00D041B7">
            <w:pPr>
              <w:tabs>
                <w:tab w:val="left" w:pos="84"/>
                <w:tab w:val="left" w:pos="497"/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right="127"/>
              <w:jc w:val="both"/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</w:pPr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 xml:space="preserve">Маркування </w:t>
            </w:r>
          </w:p>
          <w:p w:rsidR="00990135" w:rsidRPr="00446CB8" w:rsidRDefault="00990135" w:rsidP="00D041B7">
            <w:pPr>
              <w:tabs>
                <w:tab w:val="left" w:pos="84"/>
                <w:tab w:val="left" w:pos="497"/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right="127"/>
              <w:jc w:val="both"/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35" w:rsidRPr="00446CB8" w:rsidRDefault="00990135" w:rsidP="00D041B7">
            <w:pPr>
              <w:tabs>
                <w:tab w:val="left" w:pos="84"/>
                <w:tab w:val="left" w:pos="497"/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right="127"/>
              <w:jc w:val="both"/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</w:pPr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>Наявність ярликів із зазначенням інформації про найменування товару, дату виготовлення товару, назва виробника; термін придатності; умови зберігання; поживна та енергетична цінність; посилання на нормативно-технічну документацію у відповідності до супровідних документів на поставку; відсутність ГМО.</w:t>
            </w:r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ab/>
            </w:r>
          </w:p>
          <w:p w:rsidR="00990135" w:rsidRPr="00446CB8" w:rsidRDefault="00990135" w:rsidP="00D041B7">
            <w:pPr>
              <w:tabs>
                <w:tab w:val="left" w:pos="84"/>
                <w:tab w:val="left" w:pos="497"/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right="127"/>
              <w:jc w:val="both"/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</w:pPr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>Номер поставленої партії повинен співпадати з номерам партії який зазначений на упаковці товару.</w:t>
            </w:r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ab/>
            </w:r>
          </w:p>
        </w:tc>
      </w:tr>
      <w:tr w:rsidR="00990135" w:rsidRPr="00446CB8" w:rsidTr="00D041B7">
        <w:trPr>
          <w:trHeight w:val="27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35" w:rsidRPr="00446CB8" w:rsidRDefault="00990135" w:rsidP="00D041B7">
            <w:pPr>
              <w:tabs>
                <w:tab w:val="left" w:pos="84"/>
                <w:tab w:val="left" w:pos="497"/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right="127"/>
              <w:jc w:val="both"/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</w:pPr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>Вимоги до пакетування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35" w:rsidRPr="00446CB8" w:rsidRDefault="00990135" w:rsidP="00D041B7">
            <w:pPr>
              <w:tabs>
                <w:tab w:val="left" w:pos="84"/>
                <w:tab w:val="left" w:pos="497"/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right="127"/>
              <w:jc w:val="both"/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</w:pPr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>Транспортування тільки в спеціальній тарі</w:t>
            </w:r>
          </w:p>
          <w:p w:rsidR="00990135" w:rsidRPr="00446CB8" w:rsidRDefault="00990135" w:rsidP="00D041B7">
            <w:pPr>
              <w:tabs>
                <w:tab w:val="left" w:pos="84"/>
                <w:tab w:val="left" w:pos="497"/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right="127"/>
              <w:jc w:val="both"/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</w:pPr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>Транспортування тільки в спеціальних ящиках.</w:t>
            </w:r>
          </w:p>
        </w:tc>
      </w:tr>
      <w:tr w:rsidR="00990135" w:rsidRPr="00446CB8" w:rsidTr="00D041B7">
        <w:trPr>
          <w:trHeight w:val="121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35" w:rsidRPr="00446CB8" w:rsidRDefault="00990135" w:rsidP="00D041B7">
            <w:pPr>
              <w:tabs>
                <w:tab w:val="left" w:pos="84"/>
                <w:tab w:val="left" w:pos="497"/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right="127"/>
              <w:jc w:val="both"/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35" w:rsidRPr="00446CB8" w:rsidRDefault="00990135" w:rsidP="00D041B7">
            <w:pPr>
              <w:tabs>
                <w:tab w:val="left" w:pos="84"/>
                <w:tab w:val="left" w:pos="497"/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right="127"/>
              <w:jc w:val="both"/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</w:pPr>
          </w:p>
        </w:tc>
      </w:tr>
      <w:tr w:rsidR="00990135" w:rsidRPr="00446CB8" w:rsidTr="00F156B4">
        <w:trPr>
          <w:trHeight w:val="1562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35" w:rsidRPr="00446CB8" w:rsidRDefault="00990135" w:rsidP="00D041B7">
            <w:pPr>
              <w:tabs>
                <w:tab w:val="left" w:pos="84"/>
                <w:tab w:val="left" w:pos="497"/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right="127"/>
              <w:jc w:val="both"/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</w:pPr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lastRenderedPageBreak/>
              <w:t>Додаткові вимоги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35" w:rsidRPr="00446CB8" w:rsidRDefault="00990135" w:rsidP="00D041B7">
            <w:pPr>
              <w:tabs>
                <w:tab w:val="left" w:pos="84"/>
                <w:tab w:val="left" w:pos="497"/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right="127"/>
              <w:jc w:val="both"/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</w:pPr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>Курятина свіжа 100%.</w:t>
            </w:r>
          </w:p>
          <w:p w:rsidR="00990135" w:rsidRPr="00446CB8" w:rsidRDefault="00990135" w:rsidP="00D041B7">
            <w:pPr>
              <w:tabs>
                <w:tab w:val="left" w:pos="84"/>
                <w:tab w:val="left" w:pos="497"/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right="127"/>
              <w:jc w:val="both"/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</w:pPr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>Вигляд та запах властивий доброякісному м'ясу курятини без сторонніх запахів. М’ясо повинно бути одержано від забою здорової птиці. Товар не повинен містити штучних барвників, ароматизаторів, підсилювачів смаку, консервантів.</w:t>
            </w:r>
          </w:p>
          <w:p w:rsidR="00990135" w:rsidRPr="00446CB8" w:rsidRDefault="00990135" w:rsidP="00D041B7">
            <w:pPr>
              <w:tabs>
                <w:tab w:val="left" w:pos="84"/>
                <w:tab w:val="left" w:pos="497"/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right="127"/>
              <w:jc w:val="both"/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</w:pPr>
          </w:p>
        </w:tc>
      </w:tr>
      <w:tr w:rsidR="00990135" w:rsidRPr="00446CB8" w:rsidTr="00D041B7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35" w:rsidRPr="00446CB8" w:rsidRDefault="00990135" w:rsidP="00D041B7">
            <w:pPr>
              <w:tabs>
                <w:tab w:val="left" w:pos="84"/>
                <w:tab w:val="left" w:pos="497"/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right="127"/>
              <w:jc w:val="both"/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</w:pPr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>Термін придатності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35" w:rsidRPr="00446CB8" w:rsidRDefault="00990135" w:rsidP="00D041B7">
            <w:pPr>
              <w:tabs>
                <w:tab w:val="left" w:pos="84"/>
                <w:tab w:val="left" w:pos="497"/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right="127"/>
              <w:jc w:val="both"/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</w:pPr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>Термін придатності товару з моменту, коли відбулася поставка, має становити не менше 90% від загального терміну зберігання, передбаченого виробником, (тобто, щоб строк його придатності минув не більше, ніж на 10%).</w:t>
            </w:r>
          </w:p>
        </w:tc>
      </w:tr>
      <w:tr w:rsidR="00990135" w:rsidRPr="00446CB8" w:rsidTr="00D041B7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35" w:rsidRPr="00446CB8" w:rsidRDefault="00990135" w:rsidP="00D041B7">
            <w:pPr>
              <w:tabs>
                <w:tab w:val="left" w:pos="84"/>
                <w:tab w:val="left" w:pos="497"/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right="127"/>
              <w:jc w:val="both"/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</w:pPr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>Споживче пакування (матеріал)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35" w:rsidRPr="00446CB8" w:rsidRDefault="00990135" w:rsidP="00D041B7">
            <w:pPr>
              <w:tabs>
                <w:tab w:val="left" w:pos="84"/>
                <w:tab w:val="left" w:pos="497"/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right="127"/>
              <w:jc w:val="both"/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</w:pPr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 xml:space="preserve">Пакети з полімерної та/або з </w:t>
            </w:r>
            <w:proofErr w:type="spellStart"/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>полівінілхлоридної</w:t>
            </w:r>
            <w:proofErr w:type="spellEnd"/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 xml:space="preserve"> плівки для харчових продуктів.</w:t>
            </w:r>
          </w:p>
        </w:tc>
      </w:tr>
      <w:tr w:rsidR="00990135" w:rsidRPr="00446CB8" w:rsidTr="00D041B7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35" w:rsidRPr="00446CB8" w:rsidRDefault="00990135" w:rsidP="00D041B7">
            <w:pPr>
              <w:tabs>
                <w:tab w:val="left" w:pos="84"/>
                <w:tab w:val="left" w:pos="497"/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right="127"/>
              <w:jc w:val="both"/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</w:pPr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>Супровідна документація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35" w:rsidRPr="00446CB8" w:rsidRDefault="00990135" w:rsidP="00D041B7">
            <w:pPr>
              <w:tabs>
                <w:tab w:val="left" w:pos="84"/>
                <w:tab w:val="left" w:pos="497"/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right="127"/>
              <w:jc w:val="both"/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</w:pPr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>Кожна поставка товару повинна супроводжуватись документами, що підтверджують якість та безпечність продукції, а саме:</w:t>
            </w:r>
          </w:p>
          <w:p w:rsidR="00990135" w:rsidRPr="00446CB8" w:rsidRDefault="00990135" w:rsidP="00D041B7">
            <w:pPr>
              <w:tabs>
                <w:tab w:val="left" w:pos="84"/>
                <w:tab w:val="left" w:pos="497"/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right="127"/>
              <w:jc w:val="both"/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</w:pPr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>- Товаро-транспортна накладна;</w:t>
            </w:r>
          </w:p>
          <w:p w:rsidR="00990135" w:rsidRPr="00446CB8" w:rsidRDefault="00990135" w:rsidP="00D041B7">
            <w:pPr>
              <w:tabs>
                <w:tab w:val="left" w:pos="84"/>
                <w:tab w:val="left" w:pos="497"/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right="127"/>
              <w:jc w:val="both"/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</w:pPr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 xml:space="preserve">- Видаткова накладна; </w:t>
            </w:r>
          </w:p>
          <w:p w:rsidR="00990135" w:rsidRPr="00446CB8" w:rsidRDefault="00990135" w:rsidP="00D041B7">
            <w:pPr>
              <w:tabs>
                <w:tab w:val="left" w:pos="84"/>
                <w:tab w:val="left" w:pos="497"/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right="127"/>
              <w:jc w:val="both"/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</w:pPr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 xml:space="preserve">- Декларація виробника (Посвідчення про якість); </w:t>
            </w:r>
          </w:p>
        </w:tc>
      </w:tr>
      <w:tr w:rsidR="00990135" w:rsidRPr="00446CB8" w:rsidTr="00D041B7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35" w:rsidRPr="00446CB8" w:rsidRDefault="00990135" w:rsidP="00D041B7">
            <w:pPr>
              <w:tabs>
                <w:tab w:val="left" w:pos="84"/>
                <w:tab w:val="left" w:pos="497"/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right="127"/>
              <w:jc w:val="both"/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</w:pPr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>Транспортне та складське пакування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35" w:rsidRPr="00446CB8" w:rsidRDefault="00990135" w:rsidP="00D041B7">
            <w:pPr>
              <w:tabs>
                <w:tab w:val="left" w:pos="84"/>
                <w:tab w:val="left" w:pos="497"/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right="127"/>
              <w:jc w:val="both"/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</w:pPr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>Щільно запаковані пакети (мішки) зі стікерами, формою № 2 в картонних ящиках.</w:t>
            </w:r>
          </w:p>
        </w:tc>
      </w:tr>
      <w:tr w:rsidR="00990135" w:rsidRPr="00446CB8" w:rsidTr="00D041B7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35" w:rsidRPr="00446CB8" w:rsidRDefault="00990135" w:rsidP="00D041B7">
            <w:pPr>
              <w:tabs>
                <w:tab w:val="left" w:pos="84"/>
                <w:tab w:val="left" w:pos="497"/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right="127"/>
              <w:jc w:val="both"/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</w:pPr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>Споживче пакування (вага)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35" w:rsidRPr="00446CB8" w:rsidRDefault="00990135" w:rsidP="00D041B7">
            <w:pPr>
              <w:tabs>
                <w:tab w:val="left" w:pos="84"/>
                <w:tab w:val="left" w:pos="497"/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right="127"/>
              <w:jc w:val="both"/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</w:pPr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 xml:space="preserve">Від 2,5 кг. – до 3 кг. </w:t>
            </w:r>
          </w:p>
          <w:p w:rsidR="00990135" w:rsidRPr="00446CB8" w:rsidRDefault="00990135" w:rsidP="00D041B7">
            <w:pPr>
              <w:tabs>
                <w:tab w:val="left" w:pos="84"/>
                <w:tab w:val="left" w:pos="497"/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right="127"/>
              <w:jc w:val="both"/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</w:pPr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>Від 3 кг. – до 5 кг.</w:t>
            </w:r>
          </w:p>
        </w:tc>
      </w:tr>
      <w:tr w:rsidR="00990135" w:rsidRPr="00446CB8" w:rsidTr="00D041B7">
        <w:trPr>
          <w:trHeight w:val="1547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35" w:rsidRPr="00446CB8" w:rsidRDefault="00990135" w:rsidP="00D041B7">
            <w:pPr>
              <w:tabs>
                <w:tab w:val="left" w:pos="84"/>
                <w:tab w:val="left" w:pos="497"/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right="127"/>
              <w:jc w:val="both"/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</w:pPr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>Вимоги до постачання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35" w:rsidRPr="00446CB8" w:rsidRDefault="00990135" w:rsidP="00D041B7">
            <w:pPr>
              <w:tabs>
                <w:tab w:val="left" w:pos="84"/>
                <w:tab w:val="left" w:pos="497"/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right="127"/>
              <w:jc w:val="both"/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</w:pPr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 xml:space="preserve">Товар повинен постачатися спеціалізованим автотранспортом (Ізотермічним (обладнаним холодильною установкою) та/або рефрижераторним у кількості не менше двох). Для підтвердження відповідності вищезазначеним вимогам, Учасник повинен надати підтвердження наявності укомплектованого автотранспорту із зазначеним номером, яким буде </w:t>
            </w:r>
            <w:proofErr w:type="spellStart"/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>здійснюватись</w:t>
            </w:r>
            <w:proofErr w:type="spellEnd"/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 xml:space="preserve"> поставка продуктів харчування, температурний режим зберігання яких становить менше 10 градусів Цельсія.</w:t>
            </w:r>
          </w:p>
          <w:p w:rsidR="00990135" w:rsidRPr="00446CB8" w:rsidRDefault="00990135" w:rsidP="00D041B7">
            <w:pPr>
              <w:tabs>
                <w:tab w:val="left" w:pos="84"/>
                <w:tab w:val="left" w:pos="497"/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right="127"/>
              <w:jc w:val="both"/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</w:pPr>
            <w:bookmarkStart w:id="3" w:name="_Hlk26435264"/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 xml:space="preserve">Постачання товару здійснюється за </w:t>
            </w:r>
            <w:proofErr w:type="spellStart"/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>адресою</w:t>
            </w:r>
            <w:proofErr w:type="spellEnd"/>
            <w:r w:rsidRPr="00446CB8">
              <w:rPr>
                <w:rFonts w:eastAsia="Calibri"/>
                <w:color w:val="000000"/>
                <w:sz w:val="24"/>
                <w:szCs w:val="24"/>
                <w:shd w:val="solid" w:color="FFFFFF" w:fill="FFFFFF"/>
                <w:lang w:eastAsia="en-US"/>
              </w:rPr>
              <w:t xml:space="preserve"> 45000, Волинська область; м. Ковель; вул.Варшавська,10 згідно заявок Замовника, </w:t>
            </w:r>
            <w:bookmarkEnd w:id="3"/>
            <w:r w:rsidRPr="00446CB8">
              <w:rPr>
                <w:rFonts w:eastAsia="Calibri"/>
                <w:b/>
                <w:color w:val="000000"/>
                <w:sz w:val="24"/>
                <w:szCs w:val="24"/>
                <w:shd w:val="solid" w:color="FFFFFF" w:fill="FFFFFF"/>
                <w:lang w:eastAsia="en-US"/>
              </w:rPr>
              <w:t>щотижнево по вівторках  з  8.00 до 9.00 години.</w:t>
            </w:r>
          </w:p>
        </w:tc>
      </w:tr>
    </w:tbl>
    <w:p w:rsidR="00990135" w:rsidRPr="001C22C0" w:rsidRDefault="00990135" w:rsidP="00990135">
      <w:pPr>
        <w:tabs>
          <w:tab w:val="left" w:pos="84"/>
          <w:tab w:val="left" w:pos="497"/>
          <w:tab w:val="left" w:pos="11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" w:right="127"/>
        <w:jc w:val="both"/>
        <w:rPr>
          <w:color w:val="000000"/>
          <w:sz w:val="24"/>
          <w:szCs w:val="24"/>
          <w:lang w:eastAsia="uk-UA"/>
        </w:rPr>
      </w:pPr>
      <w:r w:rsidRPr="00446CB8">
        <w:rPr>
          <w:rFonts w:eastAsiaTheme="minorEastAsia"/>
          <w:bCs/>
          <w:kern w:val="2"/>
          <w:sz w:val="24"/>
          <w:szCs w:val="24"/>
          <w:lang w:eastAsia="uk-UA"/>
        </w:rPr>
        <w:t xml:space="preserve"> </w:t>
      </w:r>
      <w:bookmarkEnd w:id="0"/>
    </w:p>
    <w:p w:rsidR="00990135" w:rsidRPr="00CB7982" w:rsidRDefault="00990135" w:rsidP="00990135">
      <w:pPr>
        <w:spacing w:after="0" w:line="240" w:lineRule="auto"/>
        <w:ind w:left="-142"/>
        <w:jc w:val="both"/>
        <w:rPr>
          <w:rFonts w:eastAsia="MS Mincho"/>
          <w:sz w:val="24"/>
          <w:szCs w:val="24"/>
          <w:lang w:val="ru-RU" w:eastAsia="ja-JP"/>
        </w:rPr>
      </w:pPr>
      <w:proofErr w:type="spellStart"/>
      <w:r w:rsidRPr="001851B6">
        <w:rPr>
          <w:rFonts w:eastAsia="MS Mincho"/>
          <w:b/>
          <w:i/>
          <w:sz w:val="24"/>
          <w:szCs w:val="24"/>
          <w:lang w:val="ru-RU" w:eastAsia="ja-JP"/>
        </w:rPr>
        <w:t>Примітка</w:t>
      </w:r>
      <w:proofErr w:type="spellEnd"/>
      <w:r w:rsidRPr="001851B6">
        <w:rPr>
          <w:rFonts w:eastAsia="MS Mincho"/>
          <w:b/>
          <w:i/>
          <w:sz w:val="24"/>
          <w:szCs w:val="24"/>
          <w:lang w:val="ru-RU" w:eastAsia="ja-JP"/>
        </w:rPr>
        <w:t>:</w:t>
      </w:r>
      <w:r>
        <w:rPr>
          <w:rFonts w:eastAsia="MS Mincho"/>
          <w:sz w:val="24"/>
          <w:szCs w:val="24"/>
          <w:lang w:val="ru-RU" w:eastAsia="ja-JP"/>
        </w:rPr>
        <w:t xml:space="preserve"> </w:t>
      </w:r>
      <w:proofErr w:type="spellStart"/>
      <w:r w:rsidRPr="001851B6">
        <w:rPr>
          <w:rFonts w:eastAsia="MS Mincho"/>
          <w:sz w:val="24"/>
          <w:szCs w:val="24"/>
          <w:lang w:val="ru-RU" w:eastAsia="ja-JP"/>
        </w:rPr>
        <w:t>всі</w:t>
      </w:r>
      <w:proofErr w:type="spellEnd"/>
      <w:r w:rsidRPr="001851B6">
        <w:rPr>
          <w:rFonts w:eastAsia="MS Mincho"/>
          <w:sz w:val="24"/>
          <w:szCs w:val="24"/>
          <w:lang w:val="ru-RU" w:eastAsia="ja-JP"/>
        </w:rPr>
        <w:t xml:space="preserve"> </w:t>
      </w:r>
      <w:proofErr w:type="spellStart"/>
      <w:r w:rsidRPr="001851B6">
        <w:rPr>
          <w:rFonts w:eastAsia="MS Mincho"/>
          <w:sz w:val="24"/>
          <w:szCs w:val="24"/>
          <w:lang w:val="ru-RU" w:eastAsia="ja-JP"/>
        </w:rPr>
        <w:t>посилання</w:t>
      </w:r>
      <w:proofErr w:type="spellEnd"/>
      <w:r w:rsidRPr="001851B6">
        <w:rPr>
          <w:rFonts w:eastAsia="MS Mincho"/>
          <w:sz w:val="24"/>
          <w:szCs w:val="24"/>
          <w:lang w:val="ru-RU" w:eastAsia="ja-JP"/>
        </w:rPr>
        <w:t xml:space="preserve"> на </w:t>
      </w:r>
      <w:proofErr w:type="spellStart"/>
      <w:r w:rsidRPr="001851B6">
        <w:rPr>
          <w:rFonts w:eastAsia="MS Mincho"/>
          <w:sz w:val="24"/>
          <w:szCs w:val="24"/>
          <w:lang w:val="ru-RU" w:eastAsia="ja-JP"/>
        </w:rPr>
        <w:t>конкретні</w:t>
      </w:r>
      <w:proofErr w:type="spellEnd"/>
      <w:r w:rsidRPr="001851B6">
        <w:rPr>
          <w:rFonts w:eastAsia="MS Mincho"/>
          <w:sz w:val="24"/>
          <w:szCs w:val="24"/>
          <w:lang w:val="ru-RU" w:eastAsia="ja-JP"/>
        </w:rPr>
        <w:t xml:space="preserve"> марку </w:t>
      </w:r>
      <w:proofErr w:type="spellStart"/>
      <w:r w:rsidRPr="001851B6">
        <w:rPr>
          <w:rFonts w:eastAsia="MS Mincho"/>
          <w:sz w:val="24"/>
          <w:szCs w:val="24"/>
          <w:lang w:val="ru-RU" w:eastAsia="ja-JP"/>
        </w:rPr>
        <w:t>чи</w:t>
      </w:r>
      <w:proofErr w:type="spellEnd"/>
      <w:r w:rsidRPr="001851B6">
        <w:rPr>
          <w:rFonts w:eastAsia="MS Mincho"/>
          <w:sz w:val="24"/>
          <w:szCs w:val="24"/>
          <w:lang w:val="ru-RU" w:eastAsia="ja-JP"/>
        </w:rPr>
        <w:t xml:space="preserve"> </w:t>
      </w:r>
      <w:proofErr w:type="spellStart"/>
      <w:r w:rsidRPr="001851B6">
        <w:rPr>
          <w:rFonts w:eastAsia="MS Mincho"/>
          <w:sz w:val="24"/>
          <w:szCs w:val="24"/>
          <w:lang w:val="ru-RU" w:eastAsia="ja-JP"/>
        </w:rPr>
        <w:t>виробника</w:t>
      </w:r>
      <w:proofErr w:type="spellEnd"/>
      <w:r w:rsidRPr="001851B6">
        <w:rPr>
          <w:rFonts w:eastAsia="MS Mincho"/>
          <w:sz w:val="24"/>
          <w:szCs w:val="24"/>
          <w:lang w:val="ru-RU" w:eastAsia="ja-JP"/>
        </w:rPr>
        <w:t xml:space="preserve"> </w:t>
      </w:r>
      <w:proofErr w:type="spellStart"/>
      <w:r w:rsidRPr="001851B6">
        <w:rPr>
          <w:rFonts w:eastAsia="MS Mincho"/>
          <w:sz w:val="24"/>
          <w:szCs w:val="24"/>
          <w:lang w:val="ru-RU" w:eastAsia="ja-JP"/>
        </w:rPr>
        <w:t>або</w:t>
      </w:r>
      <w:proofErr w:type="spellEnd"/>
      <w:r w:rsidRPr="001851B6">
        <w:rPr>
          <w:rFonts w:eastAsia="MS Mincho"/>
          <w:sz w:val="24"/>
          <w:szCs w:val="24"/>
          <w:lang w:val="ru-RU" w:eastAsia="ja-JP"/>
        </w:rPr>
        <w:t xml:space="preserve"> на </w:t>
      </w:r>
      <w:proofErr w:type="spellStart"/>
      <w:r w:rsidRPr="001851B6">
        <w:rPr>
          <w:rFonts w:eastAsia="MS Mincho"/>
          <w:sz w:val="24"/>
          <w:szCs w:val="24"/>
          <w:lang w:val="ru-RU" w:eastAsia="ja-JP"/>
        </w:rPr>
        <w:t>конкретний</w:t>
      </w:r>
      <w:proofErr w:type="spellEnd"/>
      <w:r w:rsidRPr="001851B6">
        <w:rPr>
          <w:rFonts w:eastAsia="MS Mincho"/>
          <w:sz w:val="24"/>
          <w:szCs w:val="24"/>
          <w:lang w:val="ru-RU" w:eastAsia="ja-JP"/>
        </w:rPr>
        <w:t xml:space="preserve"> </w:t>
      </w:r>
      <w:proofErr w:type="spellStart"/>
      <w:r w:rsidRPr="001851B6">
        <w:rPr>
          <w:rFonts w:eastAsia="MS Mincho"/>
          <w:sz w:val="24"/>
          <w:szCs w:val="24"/>
          <w:lang w:val="ru-RU" w:eastAsia="ja-JP"/>
        </w:rPr>
        <w:t>процес</w:t>
      </w:r>
      <w:proofErr w:type="spellEnd"/>
      <w:r w:rsidRPr="001851B6">
        <w:rPr>
          <w:rFonts w:eastAsia="MS Mincho"/>
          <w:sz w:val="24"/>
          <w:szCs w:val="24"/>
          <w:lang w:val="ru-RU" w:eastAsia="ja-JP"/>
        </w:rPr>
        <w:t xml:space="preserve">, </w:t>
      </w:r>
      <w:proofErr w:type="spellStart"/>
      <w:r w:rsidRPr="001851B6">
        <w:rPr>
          <w:rFonts w:eastAsia="MS Mincho"/>
          <w:sz w:val="24"/>
          <w:szCs w:val="24"/>
          <w:lang w:val="ru-RU" w:eastAsia="ja-JP"/>
        </w:rPr>
        <w:t>що</w:t>
      </w:r>
      <w:proofErr w:type="spellEnd"/>
      <w:r w:rsidRPr="001851B6">
        <w:rPr>
          <w:rFonts w:eastAsia="MS Mincho"/>
          <w:sz w:val="24"/>
          <w:szCs w:val="24"/>
          <w:lang w:val="ru-RU" w:eastAsia="ja-JP"/>
        </w:rPr>
        <w:t xml:space="preserve"> </w:t>
      </w:r>
      <w:proofErr w:type="spellStart"/>
      <w:r w:rsidRPr="001851B6">
        <w:rPr>
          <w:rFonts w:eastAsia="MS Mincho"/>
          <w:sz w:val="24"/>
          <w:szCs w:val="24"/>
          <w:lang w:val="ru-RU" w:eastAsia="ja-JP"/>
        </w:rPr>
        <w:t>характеризує</w:t>
      </w:r>
      <w:proofErr w:type="spellEnd"/>
      <w:r w:rsidRPr="001851B6">
        <w:rPr>
          <w:rFonts w:eastAsia="MS Mincho"/>
          <w:sz w:val="24"/>
          <w:szCs w:val="24"/>
          <w:lang w:val="ru-RU" w:eastAsia="ja-JP"/>
        </w:rPr>
        <w:t xml:space="preserve"> продукт </w:t>
      </w:r>
      <w:proofErr w:type="spellStart"/>
      <w:r w:rsidRPr="001851B6">
        <w:rPr>
          <w:rFonts w:eastAsia="MS Mincho"/>
          <w:sz w:val="24"/>
          <w:szCs w:val="24"/>
          <w:lang w:val="ru-RU" w:eastAsia="ja-JP"/>
        </w:rPr>
        <w:t>чи</w:t>
      </w:r>
      <w:proofErr w:type="spellEnd"/>
      <w:r w:rsidRPr="001851B6">
        <w:rPr>
          <w:rFonts w:eastAsia="MS Mincho"/>
          <w:sz w:val="24"/>
          <w:szCs w:val="24"/>
          <w:lang w:val="ru-RU" w:eastAsia="ja-JP"/>
        </w:rPr>
        <w:t xml:space="preserve"> </w:t>
      </w:r>
      <w:proofErr w:type="spellStart"/>
      <w:r w:rsidRPr="001851B6">
        <w:rPr>
          <w:rFonts w:eastAsia="MS Mincho"/>
          <w:sz w:val="24"/>
          <w:szCs w:val="24"/>
          <w:lang w:val="ru-RU" w:eastAsia="ja-JP"/>
        </w:rPr>
        <w:t>послугу</w:t>
      </w:r>
      <w:proofErr w:type="spellEnd"/>
      <w:r w:rsidRPr="001851B6">
        <w:rPr>
          <w:rFonts w:eastAsia="MS Mincho"/>
          <w:sz w:val="24"/>
          <w:szCs w:val="24"/>
          <w:lang w:val="ru-RU" w:eastAsia="ja-JP"/>
        </w:rPr>
        <w:t xml:space="preserve"> </w:t>
      </w:r>
      <w:proofErr w:type="spellStart"/>
      <w:r w:rsidRPr="001851B6">
        <w:rPr>
          <w:rFonts w:eastAsia="MS Mincho"/>
          <w:sz w:val="24"/>
          <w:szCs w:val="24"/>
          <w:lang w:val="ru-RU" w:eastAsia="ja-JP"/>
        </w:rPr>
        <w:t>певного</w:t>
      </w:r>
      <w:proofErr w:type="spellEnd"/>
      <w:r w:rsidRPr="001851B6">
        <w:rPr>
          <w:rFonts w:eastAsia="MS Mincho"/>
          <w:sz w:val="24"/>
          <w:szCs w:val="24"/>
          <w:lang w:val="ru-RU" w:eastAsia="ja-JP"/>
        </w:rPr>
        <w:t xml:space="preserve"> </w:t>
      </w:r>
      <w:proofErr w:type="spellStart"/>
      <w:r w:rsidRPr="001851B6">
        <w:rPr>
          <w:rFonts w:eastAsia="MS Mincho"/>
          <w:sz w:val="24"/>
          <w:szCs w:val="24"/>
          <w:lang w:val="ru-RU" w:eastAsia="ja-JP"/>
        </w:rPr>
        <w:t>суб’єкта</w:t>
      </w:r>
      <w:proofErr w:type="spellEnd"/>
      <w:r w:rsidRPr="001851B6">
        <w:rPr>
          <w:rFonts w:eastAsia="MS Mincho"/>
          <w:sz w:val="24"/>
          <w:szCs w:val="24"/>
          <w:lang w:val="ru-RU" w:eastAsia="ja-JP"/>
        </w:rPr>
        <w:t xml:space="preserve"> </w:t>
      </w:r>
      <w:proofErr w:type="spellStart"/>
      <w:r w:rsidRPr="001851B6">
        <w:rPr>
          <w:rFonts w:eastAsia="MS Mincho"/>
          <w:sz w:val="24"/>
          <w:szCs w:val="24"/>
          <w:lang w:val="ru-RU" w:eastAsia="ja-JP"/>
        </w:rPr>
        <w:t>господарювання</w:t>
      </w:r>
      <w:proofErr w:type="spellEnd"/>
      <w:r w:rsidRPr="001851B6">
        <w:rPr>
          <w:rFonts w:eastAsia="MS Mincho"/>
          <w:sz w:val="24"/>
          <w:szCs w:val="24"/>
          <w:lang w:val="ru-RU" w:eastAsia="ja-JP"/>
        </w:rPr>
        <w:t xml:space="preserve">, </w:t>
      </w:r>
      <w:proofErr w:type="spellStart"/>
      <w:proofErr w:type="gramStart"/>
      <w:r w:rsidRPr="001851B6">
        <w:rPr>
          <w:rFonts w:eastAsia="MS Mincho"/>
          <w:sz w:val="24"/>
          <w:szCs w:val="24"/>
          <w:lang w:val="ru-RU" w:eastAsia="ja-JP"/>
        </w:rPr>
        <w:t>чи</w:t>
      </w:r>
      <w:proofErr w:type="spellEnd"/>
      <w:r w:rsidRPr="001851B6">
        <w:rPr>
          <w:rFonts w:eastAsia="MS Mincho"/>
          <w:sz w:val="24"/>
          <w:szCs w:val="24"/>
          <w:lang w:val="ru-RU" w:eastAsia="ja-JP"/>
        </w:rPr>
        <w:t xml:space="preserve"> на</w:t>
      </w:r>
      <w:proofErr w:type="gramEnd"/>
      <w:r w:rsidRPr="001851B6">
        <w:rPr>
          <w:rFonts w:eastAsia="MS Mincho"/>
          <w:sz w:val="24"/>
          <w:szCs w:val="24"/>
          <w:lang w:val="ru-RU" w:eastAsia="ja-JP"/>
        </w:rPr>
        <w:t xml:space="preserve"> </w:t>
      </w:r>
      <w:proofErr w:type="spellStart"/>
      <w:r w:rsidRPr="001851B6">
        <w:rPr>
          <w:rFonts w:eastAsia="MS Mincho"/>
          <w:sz w:val="24"/>
          <w:szCs w:val="24"/>
          <w:lang w:val="ru-RU" w:eastAsia="ja-JP"/>
        </w:rPr>
        <w:t>торгові</w:t>
      </w:r>
      <w:proofErr w:type="spellEnd"/>
      <w:r w:rsidRPr="001851B6">
        <w:rPr>
          <w:rFonts w:eastAsia="MS Mincho"/>
          <w:sz w:val="24"/>
          <w:szCs w:val="24"/>
          <w:lang w:val="ru-RU" w:eastAsia="ja-JP"/>
        </w:rPr>
        <w:t xml:space="preserve"> марки, </w:t>
      </w:r>
      <w:proofErr w:type="spellStart"/>
      <w:r w:rsidRPr="001851B6">
        <w:rPr>
          <w:rFonts w:eastAsia="MS Mincho"/>
          <w:sz w:val="24"/>
          <w:szCs w:val="24"/>
          <w:lang w:val="ru-RU" w:eastAsia="ja-JP"/>
        </w:rPr>
        <w:t>патенти</w:t>
      </w:r>
      <w:proofErr w:type="spellEnd"/>
      <w:r w:rsidRPr="001851B6">
        <w:rPr>
          <w:rFonts w:eastAsia="MS Mincho"/>
          <w:sz w:val="24"/>
          <w:szCs w:val="24"/>
          <w:lang w:val="ru-RU" w:eastAsia="ja-JP"/>
        </w:rPr>
        <w:t xml:space="preserve">, </w:t>
      </w:r>
      <w:proofErr w:type="spellStart"/>
      <w:r w:rsidRPr="001851B6">
        <w:rPr>
          <w:rFonts w:eastAsia="MS Mincho"/>
          <w:sz w:val="24"/>
          <w:szCs w:val="24"/>
          <w:lang w:val="ru-RU" w:eastAsia="ja-JP"/>
        </w:rPr>
        <w:t>типи</w:t>
      </w:r>
      <w:proofErr w:type="spellEnd"/>
      <w:r w:rsidRPr="001851B6">
        <w:rPr>
          <w:rFonts w:eastAsia="MS Mincho"/>
          <w:sz w:val="24"/>
          <w:szCs w:val="24"/>
          <w:lang w:val="ru-RU" w:eastAsia="ja-JP"/>
        </w:rPr>
        <w:t xml:space="preserve"> </w:t>
      </w:r>
      <w:proofErr w:type="spellStart"/>
      <w:r w:rsidRPr="001851B6">
        <w:rPr>
          <w:rFonts w:eastAsia="MS Mincho"/>
          <w:sz w:val="24"/>
          <w:szCs w:val="24"/>
          <w:lang w:val="ru-RU" w:eastAsia="ja-JP"/>
        </w:rPr>
        <w:t>або</w:t>
      </w:r>
      <w:proofErr w:type="spellEnd"/>
      <w:r w:rsidRPr="001851B6">
        <w:rPr>
          <w:rFonts w:eastAsia="MS Mincho"/>
          <w:sz w:val="24"/>
          <w:szCs w:val="24"/>
          <w:lang w:val="ru-RU" w:eastAsia="ja-JP"/>
        </w:rPr>
        <w:t xml:space="preserve"> </w:t>
      </w:r>
      <w:proofErr w:type="spellStart"/>
      <w:r w:rsidRPr="001851B6">
        <w:rPr>
          <w:rFonts w:eastAsia="MS Mincho"/>
          <w:sz w:val="24"/>
          <w:szCs w:val="24"/>
          <w:lang w:val="ru-RU" w:eastAsia="ja-JP"/>
        </w:rPr>
        <w:t>конкретне</w:t>
      </w:r>
      <w:proofErr w:type="spellEnd"/>
      <w:r w:rsidRPr="001851B6">
        <w:rPr>
          <w:rFonts w:eastAsia="MS Mincho"/>
          <w:sz w:val="24"/>
          <w:szCs w:val="24"/>
          <w:lang w:val="ru-RU" w:eastAsia="ja-JP"/>
        </w:rPr>
        <w:t xml:space="preserve"> </w:t>
      </w:r>
      <w:proofErr w:type="spellStart"/>
      <w:r w:rsidRPr="001851B6">
        <w:rPr>
          <w:rFonts w:eastAsia="MS Mincho"/>
          <w:sz w:val="24"/>
          <w:szCs w:val="24"/>
          <w:lang w:val="ru-RU" w:eastAsia="ja-JP"/>
        </w:rPr>
        <w:t>місце</w:t>
      </w:r>
      <w:proofErr w:type="spellEnd"/>
      <w:r w:rsidRPr="001851B6">
        <w:rPr>
          <w:rFonts w:eastAsia="MS Mincho"/>
          <w:sz w:val="24"/>
          <w:szCs w:val="24"/>
          <w:lang w:val="ru-RU" w:eastAsia="ja-JP"/>
        </w:rPr>
        <w:t xml:space="preserve"> </w:t>
      </w:r>
      <w:proofErr w:type="spellStart"/>
      <w:r w:rsidRPr="001851B6">
        <w:rPr>
          <w:rFonts w:eastAsia="MS Mincho"/>
          <w:sz w:val="24"/>
          <w:szCs w:val="24"/>
          <w:lang w:val="ru-RU" w:eastAsia="ja-JP"/>
        </w:rPr>
        <w:t>походження</w:t>
      </w:r>
      <w:proofErr w:type="spellEnd"/>
      <w:r w:rsidRPr="001851B6">
        <w:rPr>
          <w:rFonts w:eastAsia="MS Mincho"/>
          <w:sz w:val="24"/>
          <w:szCs w:val="24"/>
          <w:lang w:val="ru-RU" w:eastAsia="ja-JP"/>
        </w:rPr>
        <w:t xml:space="preserve"> </w:t>
      </w:r>
      <w:proofErr w:type="spellStart"/>
      <w:r w:rsidRPr="001851B6">
        <w:rPr>
          <w:rFonts w:eastAsia="MS Mincho"/>
          <w:sz w:val="24"/>
          <w:szCs w:val="24"/>
          <w:lang w:val="ru-RU" w:eastAsia="ja-JP"/>
        </w:rPr>
        <w:t>чи</w:t>
      </w:r>
      <w:proofErr w:type="spellEnd"/>
      <w:r w:rsidRPr="001851B6">
        <w:rPr>
          <w:rFonts w:eastAsia="MS Mincho"/>
          <w:sz w:val="24"/>
          <w:szCs w:val="24"/>
          <w:lang w:val="ru-RU" w:eastAsia="ja-JP"/>
        </w:rPr>
        <w:t xml:space="preserve"> </w:t>
      </w:r>
      <w:proofErr w:type="spellStart"/>
      <w:r w:rsidRPr="001851B6">
        <w:rPr>
          <w:rFonts w:eastAsia="MS Mincho"/>
          <w:sz w:val="24"/>
          <w:szCs w:val="24"/>
          <w:lang w:val="ru-RU" w:eastAsia="ja-JP"/>
        </w:rPr>
        <w:t>спосіб</w:t>
      </w:r>
      <w:proofErr w:type="spellEnd"/>
      <w:r w:rsidRPr="001851B6">
        <w:rPr>
          <w:rFonts w:eastAsia="MS Mincho"/>
          <w:sz w:val="24"/>
          <w:szCs w:val="24"/>
          <w:lang w:val="ru-RU" w:eastAsia="ja-JP"/>
        </w:rPr>
        <w:t xml:space="preserve"> </w:t>
      </w:r>
      <w:proofErr w:type="spellStart"/>
      <w:r w:rsidRPr="001851B6">
        <w:rPr>
          <w:rFonts w:eastAsia="MS Mincho"/>
          <w:sz w:val="24"/>
          <w:szCs w:val="24"/>
          <w:lang w:val="ru-RU" w:eastAsia="ja-JP"/>
        </w:rPr>
        <w:t>виробництва</w:t>
      </w:r>
      <w:proofErr w:type="spellEnd"/>
      <w:r w:rsidRPr="001851B6">
        <w:rPr>
          <w:rFonts w:eastAsia="MS Mincho"/>
          <w:sz w:val="24"/>
          <w:szCs w:val="24"/>
          <w:lang w:val="ru-RU" w:eastAsia="ja-JP"/>
        </w:rPr>
        <w:t xml:space="preserve"> </w:t>
      </w:r>
      <w:proofErr w:type="spellStart"/>
      <w:r w:rsidRPr="001851B6">
        <w:rPr>
          <w:rFonts w:eastAsia="MS Mincho"/>
          <w:sz w:val="24"/>
          <w:szCs w:val="24"/>
          <w:lang w:val="ru-RU" w:eastAsia="ja-JP"/>
        </w:rPr>
        <w:t>вживаються</w:t>
      </w:r>
      <w:proofErr w:type="spellEnd"/>
      <w:r w:rsidRPr="001851B6">
        <w:rPr>
          <w:rFonts w:eastAsia="MS Mincho"/>
          <w:sz w:val="24"/>
          <w:szCs w:val="24"/>
          <w:lang w:val="ru-RU" w:eastAsia="ja-JP"/>
        </w:rPr>
        <w:t xml:space="preserve"> у </w:t>
      </w:r>
      <w:proofErr w:type="spellStart"/>
      <w:r w:rsidRPr="001851B6">
        <w:rPr>
          <w:rFonts w:eastAsia="MS Mincho"/>
          <w:sz w:val="24"/>
          <w:szCs w:val="24"/>
          <w:lang w:val="ru-RU" w:eastAsia="ja-JP"/>
        </w:rPr>
        <w:t>значенні</w:t>
      </w:r>
      <w:proofErr w:type="spellEnd"/>
      <w:r w:rsidRPr="001851B6">
        <w:rPr>
          <w:rFonts w:eastAsia="MS Mincho"/>
          <w:sz w:val="24"/>
          <w:szCs w:val="24"/>
          <w:lang w:val="ru-RU" w:eastAsia="ja-JP"/>
        </w:rPr>
        <w:t xml:space="preserve"> «…. «</w:t>
      </w:r>
      <w:proofErr w:type="spellStart"/>
      <w:r w:rsidRPr="001851B6">
        <w:rPr>
          <w:rFonts w:eastAsia="MS Mincho"/>
          <w:sz w:val="24"/>
          <w:szCs w:val="24"/>
          <w:lang w:val="ru-RU" w:eastAsia="ja-JP"/>
        </w:rPr>
        <w:t>або</w:t>
      </w:r>
      <w:proofErr w:type="spellEnd"/>
      <w:r w:rsidRPr="001851B6">
        <w:rPr>
          <w:rFonts w:eastAsia="MS Mincho"/>
          <w:sz w:val="24"/>
          <w:szCs w:val="24"/>
          <w:lang w:val="ru-RU" w:eastAsia="ja-JP"/>
        </w:rPr>
        <w:t xml:space="preserve"> </w:t>
      </w:r>
      <w:proofErr w:type="spellStart"/>
      <w:r w:rsidRPr="001851B6">
        <w:rPr>
          <w:rFonts w:eastAsia="MS Mincho"/>
          <w:sz w:val="24"/>
          <w:szCs w:val="24"/>
          <w:lang w:val="ru-RU" w:eastAsia="ja-JP"/>
        </w:rPr>
        <w:t>еквівалент</w:t>
      </w:r>
      <w:proofErr w:type="spellEnd"/>
      <w:r w:rsidRPr="001851B6">
        <w:rPr>
          <w:rFonts w:eastAsia="MS Mincho"/>
          <w:sz w:val="24"/>
          <w:szCs w:val="24"/>
          <w:lang w:val="ru-RU" w:eastAsia="ja-JP"/>
        </w:rPr>
        <w:t>»».</w:t>
      </w:r>
    </w:p>
    <w:p w:rsidR="00990135" w:rsidRPr="00A31ABF" w:rsidRDefault="00990135" w:rsidP="00990135">
      <w:pPr>
        <w:spacing w:after="0" w:line="240" w:lineRule="auto"/>
        <w:ind w:right="-1"/>
        <w:jc w:val="both"/>
        <w:rPr>
          <w:b/>
          <w:bCs/>
          <w:sz w:val="24"/>
          <w:szCs w:val="24"/>
        </w:rPr>
      </w:pPr>
      <w:r w:rsidRPr="00A31ABF">
        <w:rPr>
          <w:b/>
          <w:sz w:val="24"/>
          <w:szCs w:val="24"/>
          <w:lang w:val="ru-RU"/>
        </w:rPr>
        <w:t>2</w:t>
      </w:r>
      <w:r w:rsidRPr="00A31ABF">
        <w:rPr>
          <w:b/>
          <w:lang w:val="ru-RU"/>
        </w:rPr>
        <w:t xml:space="preserve">. </w:t>
      </w:r>
      <w:r w:rsidRPr="00A31ABF">
        <w:rPr>
          <w:b/>
          <w:bCs/>
          <w:sz w:val="24"/>
          <w:szCs w:val="24"/>
        </w:rPr>
        <w:t>Послуги, які обов’язково надає учасник та включає в ціну товару:</w:t>
      </w:r>
    </w:p>
    <w:p w:rsidR="00990135" w:rsidRPr="005D2414" w:rsidRDefault="00990135" w:rsidP="00990135">
      <w:pPr>
        <w:spacing w:after="0" w:line="240" w:lineRule="auto"/>
        <w:ind w:right="-1"/>
        <w:jc w:val="both"/>
        <w:rPr>
          <w:bCs/>
          <w:sz w:val="24"/>
          <w:szCs w:val="24"/>
        </w:rPr>
      </w:pPr>
      <w:r w:rsidRPr="005D2414">
        <w:rPr>
          <w:bCs/>
          <w:sz w:val="24"/>
          <w:szCs w:val="24"/>
        </w:rPr>
        <w:t>- доставка товару до місця, передбаченого тендерною документацією;</w:t>
      </w:r>
    </w:p>
    <w:p w:rsidR="00990135" w:rsidRPr="00414C8E" w:rsidRDefault="00990135" w:rsidP="00990135">
      <w:pPr>
        <w:spacing w:after="0" w:line="240" w:lineRule="auto"/>
        <w:ind w:right="-1"/>
        <w:jc w:val="both"/>
        <w:rPr>
          <w:bCs/>
          <w:sz w:val="24"/>
          <w:szCs w:val="24"/>
        </w:rPr>
      </w:pPr>
      <w:r w:rsidRPr="005D2414">
        <w:rPr>
          <w:bCs/>
          <w:sz w:val="24"/>
          <w:szCs w:val="24"/>
        </w:rPr>
        <w:t>- розвантаження товару та занесення до приміщень харчоблоку.</w:t>
      </w:r>
    </w:p>
    <w:p w:rsidR="00990135" w:rsidRPr="005D2414" w:rsidRDefault="00990135" w:rsidP="00990135">
      <w:pPr>
        <w:spacing w:after="0" w:line="240" w:lineRule="auto"/>
        <w:ind w:right="-1"/>
        <w:jc w:val="both"/>
        <w:rPr>
          <w:bCs/>
          <w:sz w:val="24"/>
          <w:szCs w:val="24"/>
        </w:rPr>
      </w:pPr>
      <w:r w:rsidRPr="005D2414">
        <w:rPr>
          <w:rFonts w:eastAsia="Arial"/>
          <w:color w:val="000000"/>
          <w:sz w:val="24"/>
          <w:szCs w:val="24"/>
        </w:rPr>
        <w:t xml:space="preserve">3. </w:t>
      </w:r>
      <w:r w:rsidRPr="005D2414">
        <w:rPr>
          <w:b/>
          <w:bCs/>
          <w:sz w:val="24"/>
          <w:szCs w:val="24"/>
        </w:rPr>
        <w:t>Учасник повинен надати:</w:t>
      </w:r>
    </w:p>
    <w:p w:rsidR="00990135" w:rsidRPr="005D2414" w:rsidRDefault="00990135" w:rsidP="00990135">
      <w:pPr>
        <w:spacing w:after="0" w:line="240" w:lineRule="auto"/>
        <w:ind w:right="-1"/>
        <w:jc w:val="both"/>
        <w:rPr>
          <w:color w:val="000000"/>
          <w:sz w:val="24"/>
          <w:szCs w:val="24"/>
        </w:rPr>
      </w:pPr>
      <w:r w:rsidRPr="005D2414">
        <w:rPr>
          <w:bCs/>
          <w:sz w:val="24"/>
          <w:szCs w:val="24"/>
        </w:rPr>
        <w:t xml:space="preserve">- </w:t>
      </w:r>
      <w:r w:rsidRPr="005D2414">
        <w:rPr>
          <w:color w:val="000000"/>
          <w:sz w:val="24"/>
          <w:szCs w:val="24"/>
        </w:rPr>
        <w:t>копію свідоцтва про державну реєстрацію або експлуатаційного дозволу на потужності з виробництва та/або обороту (реалізації та/або зберігання) харчових продуктів;</w:t>
      </w:r>
    </w:p>
    <w:p w:rsidR="00990135" w:rsidRPr="005D2414" w:rsidRDefault="00990135" w:rsidP="00990135">
      <w:pPr>
        <w:spacing w:after="0" w:line="240" w:lineRule="auto"/>
        <w:ind w:right="-1"/>
        <w:jc w:val="both"/>
        <w:rPr>
          <w:color w:val="000000"/>
          <w:sz w:val="24"/>
          <w:szCs w:val="24"/>
        </w:rPr>
      </w:pPr>
      <w:r w:rsidRPr="005D2414">
        <w:rPr>
          <w:color w:val="000000"/>
          <w:sz w:val="24"/>
          <w:szCs w:val="24"/>
        </w:rPr>
        <w:t>- документи, що підтверджують якість та походження товару відповідно до ДСТУ або ТУ (сертифікати відповідності на продукти харчування, та/або посвідчення про якість, та/або декларації виробника або інше документальне підтвердження походження продуктів харчування);</w:t>
      </w:r>
    </w:p>
    <w:p w:rsidR="00990135" w:rsidRPr="005D2414" w:rsidRDefault="00990135" w:rsidP="00990135">
      <w:pPr>
        <w:spacing w:after="0" w:line="240" w:lineRule="auto"/>
        <w:ind w:right="-1"/>
        <w:jc w:val="both"/>
        <w:rPr>
          <w:rFonts w:eastAsia="Arial"/>
          <w:color w:val="000000"/>
          <w:sz w:val="24"/>
          <w:szCs w:val="24"/>
        </w:rPr>
      </w:pPr>
      <w:r w:rsidRPr="005D2414">
        <w:rPr>
          <w:rFonts w:eastAsia="Arial"/>
          <w:color w:val="000000"/>
          <w:sz w:val="24"/>
          <w:szCs w:val="24"/>
        </w:rPr>
        <w:t>- гарантійний лист, що учасник гарантує доставку товару до закладів освіти, розвантаження товару та занесення до приміщень харчоблоку.</w:t>
      </w:r>
    </w:p>
    <w:p w:rsidR="00990135" w:rsidRPr="005D2414" w:rsidRDefault="00990135" w:rsidP="00990135">
      <w:pPr>
        <w:spacing w:after="0" w:line="240" w:lineRule="auto"/>
        <w:ind w:right="-1"/>
        <w:jc w:val="both"/>
        <w:rPr>
          <w:bCs/>
          <w:sz w:val="24"/>
          <w:szCs w:val="24"/>
        </w:rPr>
      </w:pPr>
      <w:r w:rsidRPr="005D2414">
        <w:rPr>
          <w:bCs/>
          <w:sz w:val="24"/>
          <w:szCs w:val="24"/>
        </w:rPr>
        <w:t xml:space="preserve">4. </w:t>
      </w:r>
      <w:r w:rsidRPr="005D2414">
        <w:rPr>
          <w:rFonts w:eastAsia="Arial"/>
          <w:color w:val="000000"/>
          <w:sz w:val="24"/>
          <w:szCs w:val="24"/>
          <w:lang w:val="ru-RU"/>
        </w:rPr>
        <w:t xml:space="preserve">При </w:t>
      </w:r>
      <w:proofErr w:type="spellStart"/>
      <w:r w:rsidRPr="005D2414">
        <w:rPr>
          <w:rFonts w:eastAsia="Arial"/>
          <w:color w:val="000000"/>
          <w:sz w:val="24"/>
          <w:szCs w:val="24"/>
          <w:lang w:val="ru-RU"/>
        </w:rPr>
        <w:t>поставці</w:t>
      </w:r>
      <w:proofErr w:type="spellEnd"/>
      <w:r w:rsidRPr="005D2414">
        <w:rPr>
          <w:rFonts w:eastAsia="Arial"/>
          <w:color w:val="000000"/>
          <w:sz w:val="24"/>
          <w:szCs w:val="24"/>
          <w:lang w:val="ru-RU"/>
        </w:rPr>
        <w:t xml:space="preserve"> товару, </w:t>
      </w:r>
      <w:proofErr w:type="spellStart"/>
      <w:r w:rsidRPr="005D2414">
        <w:rPr>
          <w:rFonts w:eastAsia="Arial"/>
          <w:color w:val="000000"/>
          <w:sz w:val="24"/>
          <w:szCs w:val="24"/>
          <w:lang w:val="ru-RU"/>
        </w:rPr>
        <w:t>обов'язково</w:t>
      </w:r>
      <w:proofErr w:type="spellEnd"/>
      <w:r w:rsidRPr="005D2414">
        <w:rPr>
          <w:rFonts w:eastAsia="Arial"/>
          <w:color w:val="000000"/>
          <w:sz w:val="24"/>
          <w:szCs w:val="24"/>
          <w:lang w:val="ru-RU"/>
        </w:rPr>
        <w:t xml:space="preserve"> </w:t>
      </w:r>
      <w:proofErr w:type="spellStart"/>
      <w:r w:rsidRPr="005D2414">
        <w:rPr>
          <w:rFonts w:eastAsia="Arial"/>
          <w:color w:val="000000"/>
          <w:sz w:val="24"/>
          <w:szCs w:val="24"/>
          <w:lang w:val="ru-RU"/>
        </w:rPr>
        <w:t>має</w:t>
      </w:r>
      <w:proofErr w:type="spellEnd"/>
      <w:r w:rsidRPr="005D2414">
        <w:rPr>
          <w:rFonts w:eastAsia="Arial"/>
          <w:color w:val="000000"/>
          <w:sz w:val="24"/>
          <w:szCs w:val="24"/>
          <w:lang w:val="ru-RU"/>
        </w:rPr>
        <w:t xml:space="preserve"> </w:t>
      </w:r>
      <w:proofErr w:type="spellStart"/>
      <w:r w:rsidRPr="005D2414">
        <w:rPr>
          <w:rFonts w:eastAsia="Arial"/>
          <w:color w:val="000000"/>
          <w:sz w:val="24"/>
          <w:szCs w:val="24"/>
          <w:lang w:val="ru-RU"/>
        </w:rPr>
        <w:t>надаватись</w:t>
      </w:r>
      <w:proofErr w:type="spellEnd"/>
      <w:r w:rsidRPr="005D2414">
        <w:rPr>
          <w:rFonts w:eastAsia="Arial"/>
          <w:color w:val="000000"/>
          <w:sz w:val="24"/>
          <w:szCs w:val="24"/>
          <w:lang w:val="ru-RU"/>
        </w:rPr>
        <w:t xml:space="preserve"> документ </w:t>
      </w:r>
      <w:proofErr w:type="spellStart"/>
      <w:r w:rsidRPr="005D2414">
        <w:rPr>
          <w:rFonts w:eastAsia="Arial"/>
          <w:color w:val="000000"/>
          <w:sz w:val="24"/>
          <w:szCs w:val="24"/>
          <w:lang w:val="ru-RU"/>
        </w:rPr>
        <w:t>що</w:t>
      </w:r>
      <w:proofErr w:type="spellEnd"/>
      <w:r w:rsidRPr="005D2414">
        <w:rPr>
          <w:rFonts w:eastAsia="Arial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5D2414">
        <w:rPr>
          <w:rFonts w:eastAsia="Arial"/>
          <w:color w:val="000000"/>
          <w:sz w:val="24"/>
          <w:szCs w:val="24"/>
          <w:lang w:val="ru-RU"/>
        </w:rPr>
        <w:t>п</w:t>
      </w:r>
      <w:proofErr w:type="gramEnd"/>
      <w:r w:rsidRPr="005D2414">
        <w:rPr>
          <w:rFonts w:eastAsia="Arial"/>
          <w:color w:val="000000"/>
          <w:sz w:val="24"/>
          <w:szCs w:val="24"/>
          <w:lang w:val="ru-RU"/>
        </w:rPr>
        <w:t>ідтверджує</w:t>
      </w:r>
      <w:proofErr w:type="spellEnd"/>
      <w:r w:rsidRPr="005D2414">
        <w:rPr>
          <w:rFonts w:eastAsia="Arial"/>
          <w:color w:val="000000"/>
          <w:sz w:val="24"/>
          <w:szCs w:val="24"/>
          <w:lang w:val="ru-RU"/>
        </w:rPr>
        <w:t xml:space="preserve"> </w:t>
      </w:r>
      <w:proofErr w:type="spellStart"/>
      <w:r w:rsidRPr="005D2414">
        <w:rPr>
          <w:rFonts w:eastAsia="Arial"/>
          <w:color w:val="000000"/>
          <w:sz w:val="24"/>
          <w:szCs w:val="24"/>
          <w:lang w:val="ru-RU"/>
        </w:rPr>
        <w:t>його</w:t>
      </w:r>
      <w:proofErr w:type="spellEnd"/>
      <w:r w:rsidRPr="005D2414">
        <w:rPr>
          <w:rFonts w:eastAsia="Arial"/>
          <w:color w:val="000000"/>
          <w:sz w:val="24"/>
          <w:szCs w:val="24"/>
          <w:lang w:val="ru-RU"/>
        </w:rPr>
        <w:t xml:space="preserve"> </w:t>
      </w:r>
      <w:proofErr w:type="spellStart"/>
      <w:r w:rsidRPr="005D2414">
        <w:rPr>
          <w:rFonts w:eastAsia="Arial"/>
          <w:color w:val="000000"/>
          <w:sz w:val="24"/>
          <w:szCs w:val="24"/>
          <w:lang w:val="ru-RU"/>
        </w:rPr>
        <w:t>якість</w:t>
      </w:r>
      <w:proofErr w:type="spellEnd"/>
      <w:r w:rsidRPr="005D2414">
        <w:rPr>
          <w:rFonts w:eastAsia="Arial"/>
          <w:color w:val="000000"/>
          <w:sz w:val="24"/>
          <w:szCs w:val="24"/>
          <w:lang w:val="ru-RU"/>
        </w:rPr>
        <w:t>.</w:t>
      </w:r>
    </w:p>
    <w:p w:rsidR="00990135" w:rsidRPr="005D2414" w:rsidRDefault="00990135" w:rsidP="00990135">
      <w:pPr>
        <w:spacing w:after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5</w:t>
      </w:r>
      <w:r w:rsidRPr="005D2414">
        <w:rPr>
          <w:sz w:val="24"/>
          <w:szCs w:val="24"/>
        </w:rPr>
        <w:t>.  Приймання Товару за кількістю і якістю здійснюється представником закладу освіти.</w:t>
      </w:r>
    </w:p>
    <w:p w:rsidR="00990135" w:rsidRPr="005D2414" w:rsidRDefault="00990135" w:rsidP="00990135">
      <w:pPr>
        <w:spacing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Pr="005D2414">
        <w:rPr>
          <w:sz w:val="24"/>
          <w:szCs w:val="24"/>
        </w:rPr>
        <w:t xml:space="preserve">. </w:t>
      </w:r>
      <w:r w:rsidRPr="005D2414">
        <w:rPr>
          <w:rFonts w:eastAsia="Arial"/>
          <w:color w:val="000000"/>
          <w:sz w:val="24"/>
          <w:szCs w:val="24"/>
        </w:rPr>
        <w:t>У разі поставки неякісного товару або не відповідного товару, такий товар повертається  Учаснику або підлягає обміну за рахунок Учасника.</w:t>
      </w:r>
    </w:p>
    <w:p w:rsidR="00FA7920" w:rsidRPr="00BF4591" w:rsidRDefault="00990135" w:rsidP="00BF4591">
      <w:pPr>
        <w:tabs>
          <w:tab w:val="left" w:pos="3366"/>
        </w:tabs>
        <w:spacing w:after="0"/>
        <w:jc w:val="both"/>
        <w:rPr>
          <w:rFonts w:eastAsia="Calibri"/>
          <w:b/>
          <w:sz w:val="24"/>
          <w:szCs w:val="24"/>
        </w:rPr>
      </w:pPr>
      <w:r w:rsidRPr="00D73EFE">
        <w:rPr>
          <w:b/>
          <w:color w:val="000000"/>
          <w:sz w:val="24"/>
          <w:szCs w:val="24"/>
        </w:rPr>
        <w:t xml:space="preserve">7.  </w:t>
      </w:r>
      <w:r w:rsidRPr="00D73EFE">
        <w:rPr>
          <w:b/>
          <w:bCs/>
          <w:kern w:val="2"/>
          <w:sz w:val="24"/>
          <w:szCs w:val="24"/>
        </w:rPr>
        <w:t xml:space="preserve">Постачання товару здійснюється за </w:t>
      </w:r>
      <w:proofErr w:type="spellStart"/>
      <w:r w:rsidRPr="00D73EFE">
        <w:rPr>
          <w:b/>
          <w:bCs/>
          <w:kern w:val="2"/>
          <w:sz w:val="24"/>
          <w:szCs w:val="24"/>
        </w:rPr>
        <w:t>адресою</w:t>
      </w:r>
      <w:proofErr w:type="spellEnd"/>
      <w:r w:rsidRPr="00D73EFE">
        <w:rPr>
          <w:b/>
          <w:bCs/>
          <w:kern w:val="2"/>
          <w:sz w:val="24"/>
          <w:szCs w:val="24"/>
        </w:rPr>
        <w:t xml:space="preserve">: </w:t>
      </w:r>
      <w:r w:rsidRPr="00D73EFE">
        <w:rPr>
          <w:rFonts w:eastAsia="Calibri"/>
          <w:b/>
          <w:color w:val="000000"/>
          <w:sz w:val="24"/>
          <w:szCs w:val="24"/>
          <w:shd w:val="solid" w:color="FFFFFF" w:fill="FFFFFF"/>
          <w:lang w:eastAsia="en-US"/>
        </w:rPr>
        <w:t xml:space="preserve">Постачання товару здійснюється за </w:t>
      </w:r>
      <w:proofErr w:type="spellStart"/>
      <w:r w:rsidRPr="00D73EFE">
        <w:rPr>
          <w:rFonts w:eastAsia="Calibri"/>
          <w:b/>
          <w:color w:val="000000"/>
          <w:sz w:val="24"/>
          <w:szCs w:val="24"/>
          <w:shd w:val="solid" w:color="FFFFFF" w:fill="FFFFFF"/>
          <w:lang w:eastAsia="en-US"/>
        </w:rPr>
        <w:t>адресою</w:t>
      </w:r>
      <w:proofErr w:type="spellEnd"/>
      <w:r w:rsidRPr="00D73EFE">
        <w:rPr>
          <w:rFonts w:eastAsia="Calibri"/>
          <w:b/>
          <w:color w:val="000000"/>
          <w:sz w:val="24"/>
          <w:szCs w:val="24"/>
          <w:shd w:val="solid" w:color="FFFFFF" w:fill="FFFFFF"/>
          <w:lang w:eastAsia="en-US"/>
        </w:rPr>
        <w:t xml:space="preserve"> 45000, Волинська область; м. Ковель; вул.Варшавська,10 згідно заявок Замовника, щотижнево по вівторках  з  8.00 до 9.00 години.</w:t>
      </w:r>
    </w:p>
    <w:sectPr w:rsidR="00FA7920" w:rsidRPr="00BF4591" w:rsidSect="00F156B4">
      <w:pgSz w:w="11906" w:h="16838"/>
      <w:pgMar w:top="284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C4"/>
    <w:rsid w:val="002750C4"/>
    <w:rsid w:val="00716A26"/>
    <w:rsid w:val="00726FC8"/>
    <w:rsid w:val="00990135"/>
    <w:rsid w:val="00BF4591"/>
    <w:rsid w:val="00F156B4"/>
    <w:rsid w:val="00FA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3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990135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9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3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990135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9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3631</Words>
  <Characters>2070</Characters>
  <Application>Microsoft Office Word</Application>
  <DocSecurity>0</DocSecurity>
  <Lines>17</Lines>
  <Paragraphs>11</Paragraphs>
  <ScaleCrop>false</ScaleCrop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dcterms:created xsi:type="dcterms:W3CDTF">2023-10-11T06:33:00Z</dcterms:created>
  <dcterms:modified xsi:type="dcterms:W3CDTF">2023-12-21T08:07:00Z</dcterms:modified>
</cp:coreProperties>
</file>