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4F4B62" w:rsidRDefault="00E56B70" w:rsidP="00B07B8C">
      <w:pPr>
        <w:spacing w:after="0" w:line="240" w:lineRule="auto"/>
        <w:ind w:left="5664" w:firstLine="708"/>
        <w:jc w:val="right"/>
        <w:rPr>
          <w:rFonts w:ascii="Times New Roman" w:hAnsi="Times New Roman" w:cs="Times New Roman"/>
          <w:sz w:val="26"/>
          <w:szCs w:val="26"/>
          <w:lang w:val="uk-UA"/>
        </w:rPr>
      </w:pPr>
      <w:bookmarkStart w:id="0" w:name="_Hlk152089562"/>
      <w:r w:rsidRPr="004F4B62">
        <w:rPr>
          <w:rFonts w:ascii="Times New Roman" w:hAnsi="Times New Roman" w:cs="Times New Roman"/>
          <w:sz w:val="26"/>
          <w:szCs w:val="26"/>
          <w:lang w:val="uk-UA"/>
        </w:rPr>
        <w:t xml:space="preserve">Додаток </w:t>
      </w:r>
      <w:r w:rsidR="0085363F">
        <w:rPr>
          <w:rFonts w:ascii="Times New Roman" w:hAnsi="Times New Roman" w:cs="Times New Roman"/>
          <w:sz w:val="26"/>
          <w:szCs w:val="26"/>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377EF25D"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 xml:space="preserve">Військова частина А1604 в особі </w:t>
      </w:r>
      <w:proofErr w:type="spellStart"/>
      <w:r w:rsidRPr="004F4B62">
        <w:rPr>
          <w:rFonts w:ascii="Times New Roman" w:eastAsia="Times New Roman" w:hAnsi="Times New Roman" w:cs="Times New Roman"/>
          <w:sz w:val="24"/>
          <w:szCs w:val="24"/>
          <w:lang w:val="uk-UA"/>
        </w:rPr>
        <w:t>Мінакова</w:t>
      </w:r>
      <w:proofErr w:type="spellEnd"/>
      <w:r w:rsidRPr="004F4B62">
        <w:rPr>
          <w:rFonts w:ascii="Times New Roman" w:eastAsia="Times New Roman" w:hAnsi="Times New Roman" w:cs="Times New Roman"/>
          <w:sz w:val="24"/>
          <w:szCs w:val="24"/>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 xml:space="preserve">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4F4B62">
        <w:rPr>
          <w:rFonts w:ascii="Times New Roman" w:eastAsia="Times New Roman" w:hAnsi="Times New Roman" w:cs="Times New Roman"/>
          <w:sz w:val="24"/>
          <w:szCs w:val="24"/>
          <w:lang w:val="uk-UA" w:eastAsia="x-none"/>
        </w:rPr>
        <w:t>внесуть</w:t>
      </w:r>
      <w:proofErr w:type="spellEnd"/>
      <w:r w:rsidRPr="004F4B62">
        <w:rPr>
          <w:rFonts w:ascii="Times New Roman" w:eastAsia="Times New Roman" w:hAnsi="Times New Roman" w:cs="Times New Roman"/>
          <w:sz w:val="24"/>
          <w:szCs w:val="24"/>
          <w:lang w:val="uk-UA" w:eastAsia="x-none"/>
        </w:rPr>
        <w:t xml:space="preserve">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Покупець може відкласти приймання продукції за кількістю та якістю, доки Продавець не </w:t>
      </w:r>
      <w:proofErr w:type="spellStart"/>
      <w:r w:rsidRPr="004F4B62">
        <w:rPr>
          <w:rFonts w:ascii="Times New Roman" w:eastAsia="Times New Roman" w:hAnsi="Times New Roman" w:cs="Times New Roman"/>
          <w:sz w:val="24"/>
          <w:szCs w:val="24"/>
          <w:lang w:val="uk-UA" w:eastAsia="ru-RU"/>
        </w:rPr>
        <w:t>надасть</w:t>
      </w:r>
      <w:proofErr w:type="spellEnd"/>
      <w:r w:rsidRPr="004F4B62">
        <w:rPr>
          <w:rFonts w:ascii="Times New Roman" w:eastAsia="Times New Roman" w:hAnsi="Times New Roman" w:cs="Times New Roman"/>
          <w:sz w:val="24"/>
          <w:szCs w:val="24"/>
          <w:lang w:val="uk-UA" w:eastAsia="ru-RU"/>
        </w:rPr>
        <w:t xml:space="preserve">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5F8D5F5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4F4B62">
        <w:rPr>
          <w:rFonts w:ascii="Times New Roman" w:eastAsia="Times New Roman" w:hAnsi="Times New Roman" w:cs="Times New Roman"/>
          <w:b/>
          <w:sz w:val="24"/>
          <w:szCs w:val="24"/>
          <w:lang w:val="uk-UA" w:eastAsia="ru-RU"/>
        </w:rPr>
        <w:t xml:space="preserve">до </w:t>
      </w:r>
      <w:r w:rsidR="00257FD4" w:rsidRPr="004F4B62">
        <w:rPr>
          <w:rFonts w:ascii="Times New Roman" w:eastAsia="Times New Roman" w:hAnsi="Times New Roman" w:cs="Times New Roman"/>
          <w:b/>
          <w:sz w:val="24"/>
          <w:szCs w:val="24"/>
          <w:lang w:val="uk-UA" w:eastAsia="ru-RU"/>
        </w:rPr>
        <w:t xml:space="preserve">___________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w:t>
      </w:r>
      <w:proofErr w:type="spellStart"/>
      <w:r w:rsidRPr="004F4B62">
        <w:rPr>
          <w:rFonts w:ascii="Times New Roman" w:eastAsia="Times New Roman" w:hAnsi="Times New Roman" w:cs="Times New Roman"/>
          <w:sz w:val="24"/>
          <w:szCs w:val="24"/>
          <w:lang w:val="uk-UA" w:eastAsia="ru-RU"/>
        </w:rPr>
        <w:t>оперативно</w:t>
      </w:r>
      <w:proofErr w:type="spellEnd"/>
      <w:r w:rsidRPr="004F4B62">
        <w:rPr>
          <w:rFonts w:ascii="Times New Roman" w:eastAsia="Times New Roman" w:hAnsi="Times New Roman" w:cs="Times New Roman"/>
          <w:sz w:val="24"/>
          <w:szCs w:val="24"/>
          <w:lang w:val="uk-UA" w:eastAsia="ru-RU"/>
        </w:rPr>
        <w:t xml:space="preserve">-господарську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4F4B62">
        <w:rPr>
          <w:rFonts w:ascii="Times New Roman" w:eastAsia="Times New Roman" w:hAnsi="Times New Roman" w:cs="Times New Roman"/>
          <w:sz w:val="24"/>
          <w:szCs w:val="24"/>
          <w:lang w:val="uk-UA" w:eastAsia="ru-RU"/>
        </w:rPr>
        <w:t>невідповідностей</w:t>
      </w:r>
      <w:proofErr w:type="spellEnd"/>
      <w:r w:rsidRPr="004F4B62">
        <w:rPr>
          <w:rFonts w:ascii="Times New Roman" w:eastAsia="Times New Roman" w:hAnsi="Times New Roman" w:cs="Times New Roman"/>
          <w:sz w:val="24"/>
          <w:szCs w:val="24"/>
          <w:lang w:val="uk-UA" w:eastAsia="ru-RU"/>
        </w:rPr>
        <w:t xml:space="preserve">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9A9402A"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 xml:space="preserve">Додаток 1. Специфікація до договору, на 1 </w:t>
      </w:r>
      <w:proofErr w:type="spellStart"/>
      <w:r w:rsidRPr="004F4B62">
        <w:rPr>
          <w:rFonts w:ascii="Times New Roman" w:eastAsia="Times New Roman" w:hAnsi="Times New Roman" w:cs="Times New Roman"/>
          <w:sz w:val="24"/>
          <w:szCs w:val="24"/>
          <w:lang w:val="uk-UA" w:eastAsia="uk-UA"/>
        </w:rPr>
        <w:t>арк</w:t>
      </w:r>
      <w:proofErr w:type="spellEnd"/>
      <w:r w:rsidRPr="004F4B62">
        <w:rPr>
          <w:rFonts w:ascii="Times New Roman" w:eastAsia="Times New Roman" w:hAnsi="Times New Roman" w:cs="Times New Roman"/>
          <w:sz w:val="24"/>
          <w:szCs w:val="24"/>
          <w:lang w:val="uk-UA" w:eastAsia="uk-UA"/>
        </w:rPr>
        <w:t>.</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p w14:paraId="6A28797C" w14:textId="77777777" w:rsidR="008B1CC0" w:rsidRPr="004F4B62" w:rsidRDefault="008B1C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tbl>
      <w:tblPr>
        <w:tblW w:w="0" w:type="auto"/>
        <w:tblLook w:val="01E0" w:firstRow="1" w:lastRow="1" w:firstColumn="1" w:lastColumn="1" w:noHBand="0" w:noVBand="0"/>
      </w:tblPr>
      <w:tblGrid>
        <w:gridCol w:w="4962"/>
        <w:gridCol w:w="4785"/>
      </w:tblGrid>
      <w:tr w:rsidR="005165E3" w:rsidRPr="004F4B62" w14:paraId="1ACD8D5F" w14:textId="77777777" w:rsidTr="008B1CC0">
        <w:trPr>
          <w:trHeight w:val="113"/>
        </w:trPr>
        <w:tc>
          <w:tcPr>
            <w:tcW w:w="4962"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785"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8B1CC0">
        <w:trPr>
          <w:trHeight w:val="113"/>
        </w:trPr>
        <w:tc>
          <w:tcPr>
            <w:tcW w:w="4962"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785"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8B1CC0">
        <w:trPr>
          <w:trHeight w:val="113"/>
        </w:trPr>
        <w:tc>
          <w:tcPr>
            <w:tcW w:w="4962"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767A57B1" w14:textId="00A99097" w:rsidR="005165E3" w:rsidRPr="004F4B62" w:rsidRDefault="005165E3" w:rsidP="008B1CC0">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75024, Херсонська обл. с. Чорнобаївка</w:t>
            </w:r>
            <w:r w:rsidR="008B1CC0">
              <w:rPr>
                <w:rFonts w:ascii="Times New Roman" w:eastAsia="Times New Roman" w:hAnsi="Times New Roman" w:cs="Times New Roman"/>
                <w:position w:val="-2"/>
                <w:sz w:val="24"/>
                <w:szCs w:val="24"/>
                <w:lang w:val="uk-UA"/>
              </w:rPr>
              <w:t xml:space="preserve">, </w:t>
            </w:r>
            <w:r w:rsidRPr="004F4B62">
              <w:rPr>
                <w:rFonts w:ascii="Times New Roman" w:eastAsia="Times New Roman" w:hAnsi="Times New Roman" w:cs="Times New Roman"/>
                <w:position w:val="-2"/>
                <w:sz w:val="24"/>
                <w:szCs w:val="24"/>
                <w:lang w:val="uk-UA"/>
              </w:rPr>
              <w:t>Військове містечко, 14</w:t>
            </w:r>
          </w:p>
        </w:tc>
        <w:tc>
          <w:tcPr>
            <w:tcW w:w="4785"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8B1CC0">
        <w:trPr>
          <w:trHeight w:val="113"/>
        </w:trPr>
        <w:tc>
          <w:tcPr>
            <w:tcW w:w="4962"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356B4FBD"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8B1CC0" w:rsidRPr="008B1CC0">
              <w:rPr>
                <w:rFonts w:ascii="Times New Roman" w:hAnsi="Times New Roman" w:cs="Times New Roman"/>
                <w:b/>
                <w:sz w:val="24"/>
                <w:szCs w:val="24"/>
                <w:lang w:val="uk-UA"/>
              </w:rPr>
              <w:t>128201720343180005000016407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785"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8B1CC0">
        <w:trPr>
          <w:trHeight w:val="113"/>
        </w:trPr>
        <w:tc>
          <w:tcPr>
            <w:tcW w:w="4962" w:type="dxa"/>
          </w:tcPr>
          <w:p w14:paraId="25CB8A77" w14:textId="77777777" w:rsidR="008B1CC0" w:rsidRDefault="008B1CC0" w:rsidP="00BE7375">
            <w:pPr>
              <w:spacing w:after="0" w:line="240" w:lineRule="auto"/>
              <w:jc w:val="both"/>
              <w:rPr>
                <w:rFonts w:ascii="Times New Roman" w:eastAsia="Times New Roman" w:hAnsi="Times New Roman" w:cs="Times New Roman"/>
                <w:b/>
                <w:bCs/>
                <w:sz w:val="24"/>
                <w:szCs w:val="24"/>
                <w:lang w:val="uk-UA" w:eastAsia="ru-RU"/>
              </w:rPr>
            </w:pPr>
          </w:p>
          <w:p w14:paraId="1F34C5D6" w14:textId="31F88322"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proofErr w:type="spellStart"/>
            <w:r w:rsidRPr="004F4B62">
              <w:rPr>
                <w:rFonts w:ascii="Times New Roman" w:eastAsia="Times New Roman" w:hAnsi="Times New Roman" w:cs="Times New Roman"/>
                <w:sz w:val="24"/>
                <w:szCs w:val="24"/>
                <w:lang w:val="uk-UA" w:eastAsia="ru-RU"/>
              </w:rPr>
              <w:t>м.п</w:t>
            </w:r>
            <w:proofErr w:type="spellEnd"/>
            <w:r w:rsidRPr="004F4B62">
              <w:rPr>
                <w:rFonts w:ascii="Times New Roman" w:eastAsia="Times New Roman" w:hAnsi="Times New Roman" w:cs="Times New Roman"/>
                <w:sz w:val="24"/>
                <w:szCs w:val="24"/>
                <w:lang w:val="uk-UA" w:eastAsia="ru-RU"/>
              </w:rPr>
              <w:t>.</w:t>
            </w:r>
          </w:p>
        </w:tc>
        <w:tc>
          <w:tcPr>
            <w:tcW w:w="4785"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w:t>
      </w:r>
      <w:proofErr w:type="spellStart"/>
      <w:r w:rsidRPr="004F4B62">
        <w:rPr>
          <w:rFonts w:ascii="Times New Roman" w:eastAsia="Times New Roman" w:hAnsi="Times New Roman" w:cs="Times New Roman"/>
          <w:sz w:val="24"/>
          <w:szCs w:val="24"/>
          <w:lang w:val="uk-UA" w:eastAsia="ru-RU"/>
        </w:rPr>
        <w:t>Мінакова</w:t>
      </w:r>
      <w:proofErr w:type="spellEnd"/>
      <w:r w:rsidRPr="004F4B62">
        <w:rPr>
          <w:rFonts w:ascii="Times New Roman" w:eastAsia="Times New Roman" w:hAnsi="Times New Roman" w:cs="Times New Roman"/>
          <w:sz w:val="24"/>
          <w:szCs w:val="24"/>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6826D8">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A82C9B" w14:textId="77777777" w:rsidR="006826D8" w:rsidRDefault="006826D8">
      <w:pPr>
        <w:spacing w:after="0" w:line="240" w:lineRule="auto"/>
      </w:pPr>
      <w:r>
        <w:separator/>
      </w:r>
    </w:p>
  </w:endnote>
  <w:endnote w:type="continuationSeparator" w:id="0">
    <w:p w14:paraId="3753377D" w14:textId="77777777" w:rsidR="006826D8" w:rsidRDefault="0068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9E0D3" w14:textId="77777777" w:rsidR="006826D8" w:rsidRDefault="006826D8">
      <w:pPr>
        <w:spacing w:after="0" w:line="240" w:lineRule="auto"/>
      </w:pPr>
      <w:r>
        <w:separator/>
      </w:r>
    </w:p>
  </w:footnote>
  <w:footnote w:type="continuationSeparator" w:id="0">
    <w:p w14:paraId="107D68A9" w14:textId="77777777" w:rsidR="006826D8" w:rsidRDefault="00682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C04DD"/>
    <w:rsid w:val="000F6F09"/>
    <w:rsid w:val="001831B2"/>
    <w:rsid w:val="001B07FF"/>
    <w:rsid w:val="001F15F6"/>
    <w:rsid w:val="00236127"/>
    <w:rsid w:val="002408E5"/>
    <w:rsid w:val="00257FD4"/>
    <w:rsid w:val="00260AEC"/>
    <w:rsid w:val="00263C46"/>
    <w:rsid w:val="0028079D"/>
    <w:rsid w:val="00396D4E"/>
    <w:rsid w:val="003B33F4"/>
    <w:rsid w:val="003E07E8"/>
    <w:rsid w:val="00421950"/>
    <w:rsid w:val="0043348E"/>
    <w:rsid w:val="00483A4C"/>
    <w:rsid w:val="004F0BE8"/>
    <w:rsid w:val="004F4B62"/>
    <w:rsid w:val="005165E3"/>
    <w:rsid w:val="0052281F"/>
    <w:rsid w:val="00540F39"/>
    <w:rsid w:val="00566BBE"/>
    <w:rsid w:val="00584AD3"/>
    <w:rsid w:val="005E1620"/>
    <w:rsid w:val="005F3014"/>
    <w:rsid w:val="006675F5"/>
    <w:rsid w:val="006826D8"/>
    <w:rsid w:val="006E7658"/>
    <w:rsid w:val="00735B5D"/>
    <w:rsid w:val="007D24BB"/>
    <w:rsid w:val="008178B5"/>
    <w:rsid w:val="0085363F"/>
    <w:rsid w:val="00884E64"/>
    <w:rsid w:val="0089160F"/>
    <w:rsid w:val="008B1CC0"/>
    <w:rsid w:val="008B7186"/>
    <w:rsid w:val="008D1A8C"/>
    <w:rsid w:val="008D274C"/>
    <w:rsid w:val="008F1B2A"/>
    <w:rsid w:val="00907BD5"/>
    <w:rsid w:val="009728F7"/>
    <w:rsid w:val="00A11A37"/>
    <w:rsid w:val="00A231D5"/>
    <w:rsid w:val="00A86D35"/>
    <w:rsid w:val="00AA05E7"/>
    <w:rsid w:val="00B07B8C"/>
    <w:rsid w:val="00BE7375"/>
    <w:rsid w:val="00C004BC"/>
    <w:rsid w:val="00CB00F4"/>
    <w:rsid w:val="00D00515"/>
    <w:rsid w:val="00D33C73"/>
    <w:rsid w:val="00DA58E9"/>
    <w:rsid w:val="00DF0918"/>
    <w:rsid w:val="00E56B70"/>
    <w:rsid w:val="00E57AC0"/>
    <w:rsid w:val="00F405DB"/>
    <w:rsid w:val="00F55077"/>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7</Pages>
  <Words>11763</Words>
  <Characters>6705</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14</cp:revision>
  <cp:lastPrinted>2023-12-13T12:13:00Z</cp:lastPrinted>
  <dcterms:created xsi:type="dcterms:W3CDTF">2024-03-11T12:36:00Z</dcterms:created>
  <dcterms:modified xsi:type="dcterms:W3CDTF">2024-04-23T09:10:00Z</dcterms:modified>
</cp:coreProperties>
</file>