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E0" w:rsidRPr="00156A62" w:rsidRDefault="00474FA0">
      <w:pPr>
        <w:spacing w:after="200"/>
        <w:jc w:val="right"/>
        <w:rPr>
          <w:rFonts w:ascii="Times New Roman" w:eastAsia="Times New Roman" w:hAnsi="Times New Roman" w:cs="Times New Roman"/>
          <w:sz w:val="28"/>
          <w:szCs w:val="28"/>
          <w:highlight w:val="white"/>
          <w:lang w:val="uk-UA"/>
        </w:rPr>
      </w:pPr>
      <w:bookmarkStart w:id="0" w:name="_heading=h.gjdgxs" w:colFirst="0" w:colLast="0"/>
      <w:bookmarkEnd w:id="0"/>
      <w:r>
        <w:rPr>
          <w:rFonts w:ascii="Times New Roman" w:eastAsia="Times New Roman" w:hAnsi="Times New Roman" w:cs="Times New Roman"/>
          <w:sz w:val="28"/>
          <w:szCs w:val="28"/>
          <w:highlight w:val="white"/>
        </w:rPr>
        <w:t>Додаток</w:t>
      </w:r>
      <w:r w:rsidR="00156A62">
        <w:rPr>
          <w:rFonts w:ascii="Times New Roman" w:eastAsia="Times New Roman" w:hAnsi="Times New Roman" w:cs="Times New Roman"/>
          <w:sz w:val="28"/>
          <w:szCs w:val="28"/>
          <w:highlight w:val="white"/>
          <w:lang w:val="uk-UA"/>
        </w:rPr>
        <w:t xml:space="preserve"> 2</w:t>
      </w:r>
    </w:p>
    <w:p w:rsidR="00CD27E0" w:rsidRDefault="00474FA0" w:rsidP="00156A6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ТЕХНІЧНІ ВИМОГИ</w:t>
      </w:r>
    </w:p>
    <w:p w:rsidR="006032A2" w:rsidRPr="00761BEF" w:rsidRDefault="006032A2" w:rsidP="006032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262CA8">
        <w:rPr>
          <w:rFonts w:ascii="Times New Roman" w:eastAsia="Times New Roman" w:hAnsi="Times New Roman" w:cs="Times New Roman"/>
          <w:b/>
          <w:i/>
          <w:color w:val="000000"/>
          <w:sz w:val="24"/>
          <w:szCs w:val="24"/>
          <w:lang w:eastAsia="en-US"/>
        </w:rPr>
        <w:t>«ДК 021:2015:«31120000-3, Генератори (</w:t>
      </w:r>
      <w:r w:rsidRPr="0010781A">
        <w:rPr>
          <w:rFonts w:ascii="Times New Roman" w:eastAsia="Times New Roman" w:hAnsi="Times New Roman" w:cs="Times New Roman"/>
          <w:b/>
          <w:i/>
          <w:color w:val="000000"/>
          <w:sz w:val="24"/>
          <w:szCs w:val="24"/>
          <w:lang w:eastAsia="en-US"/>
        </w:rPr>
        <w:t>генератор дизельний</w:t>
      </w:r>
      <w:r w:rsidRPr="00262CA8">
        <w:rPr>
          <w:rFonts w:ascii="Times New Roman" w:eastAsia="Times New Roman" w:hAnsi="Times New Roman" w:cs="Times New Roman"/>
          <w:b/>
          <w:i/>
          <w:color w:val="000000"/>
          <w:sz w:val="24"/>
          <w:szCs w:val="24"/>
          <w:lang w:eastAsia="en-US"/>
        </w:rPr>
        <w:t>)»</w:t>
      </w:r>
    </w:p>
    <w:p w:rsidR="006032A2" w:rsidRPr="00156A62" w:rsidRDefault="006032A2" w:rsidP="00156A62">
      <w:pPr>
        <w:spacing w:line="240" w:lineRule="auto"/>
        <w:jc w:val="center"/>
        <w:rPr>
          <w:rFonts w:ascii="Times New Roman" w:eastAsia="Times New Roman" w:hAnsi="Times New Roman" w:cs="Times New Roman"/>
          <w:b/>
          <w:sz w:val="24"/>
          <w:szCs w:val="24"/>
          <w:highlight w:val="white"/>
        </w:rPr>
      </w:pPr>
    </w:p>
    <w:p w:rsidR="00CD27E0" w:rsidRPr="00156A62" w:rsidRDefault="00474FA0" w:rsidP="006032A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ЛОТ 2</w:t>
      </w:r>
    </w:p>
    <w:p w:rsidR="00CD27E0" w:rsidRPr="00156A62" w:rsidRDefault="00CD27E0" w:rsidP="00156A62">
      <w:pPr>
        <w:spacing w:line="240" w:lineRule="auto"/>
        <w:rPr>
          <w:rFonts w:ascii="Times New Roman" w:eastAsia="Times New Roman" w:hAnsi="Times New Roman" w:cs="Times New Roman"/>
          <w:b/>
          <w:sz w:val="24"/>
          <w:szCs w:val="24"/>
          <w:highlight w:val="white"/>
        </w:rPr>
      </w:pPr>
    </w:p>
    <w:p w:rsidR="00CD27E0" w:rsidRPr="00156A62" w:rsidRDefault="00474FA0" w:rsidP="00156A6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 xml:space="preserve">Генератор </w:t>
      </w:r>
      <w:proofErr w:type="spellStart"/>
      <w:r w:rsidRPr="00156A62">
        <w:rPr>
          <w:rFonts w:ascii="Times New Roman" w:eastAsia="Times New Roman" w:hAnsi="Times New Roman" w:cs="Times New Roman"/>
          <w:b/>
          <w:sz w:val="24"/>
          <w:szCs w:val="24"/>
          <w:highlight w:val="white"/>
        </w:rPr>
        <w:t>Vulkan</w:t>
      </w:r>
      <w:proofErr w:type="spellEnd"/>
      <w:r w:rsidRPr="00156A62">
        <w:rPr>
          <w:rFonts w:ascii="Times New Roman" w:eastAsia="Times New Roman" w:hAnsi="Times New Roman" w:cs="Times New Roman"/>
          <w:b/>
          <w:sz w:val="24"/>
          <w:szCs w:val="24"/>
          <w:highlight w:val="white"/>
        </w:rPr>
        <w:t xml:space="preserve"> SCD8000 (5 шт.)</w:t>
      </w:r>
    </w:p>
    <w:tbl>
      <w:tblPr>
        <w:tblStyle w:val="aa"/>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9C39C4">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6,5 - 7,</w:t>
            </w:r>
            <w:r w:rsidR="009C39C4">
              <w:rPr>
                <w:rFonts w:ascii="Times New Roman" w:eastAsia="Times New Roman" w:hAnsi="Times New Roman" w:cs="Times New Roman"/>
                <w:sz w:val="24"/>
                <w:szCs w:val="24"/>
                <w:lang w:val="uk-UA"/>
              </w:rPr>
              <w:t>5</w:t>
            </w:r>
            <w:r w:rsidRPr="00156A62">
              <w:rPr>
                <w:rFonts w:ascii="Times New Roman" w:eastAsia="Times New Roman" w:hAnsi="Times New Roman" w:cs="Times New Roman"/>
                <w:sz w:val="24"/>
                <w:szCs w:val="24"/>
              </w:rPr>
              <w:t xml:space="preserve">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9C39C4">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 xml:space="preserve">7,00 - </w:t>
            </w:r>
            <w:r w:rsidR="009C39C4">
              <w:rPr>
                <w:rFonts w:ascii="Times New Roman" w:eastAsia="Times New Roman" w:hAnsi="Times New Roman" w:cs="Times New Roman"/>
                <w:sz w:val="24"/>
                <w:szCs w:val="24"/>
                <w:lang w:val="uk-UA"/>
              </w:rPr>
              <w:t>8</w:t>
            </w:r>
            <w:r w:rsidRPr="00156A62">
              <w:rPr>
                <w:rFonts w:ascii="Times New Roman" w:eastAsia="Times New Roman" w:hAnsi="Times New Roman" w:cs="Times New Roman"/>
                <w:sz w:val="24"/>
                <w:szCs w:val="24"/>
              </w:rPr>
              <w:t>,</w:t>
            </w:r>
            <w:r w:rsidR="009C39C4">
              <w:rPr>
                <w:rFonts w:ascii="Times New Roman" w:eastAsia="Times New Roman" w:hAnsi="Times New Roman" w:cs="Times New Roman"/>
                <w:sz w:val="24"/>
                <w:szCs w:val="24"/>
                <w:lang w:val="uk-UA"/>
              </w:rPr>
              <w:t>0</w:t>
            </w:r>
            <w:r w:rsidRPr="00156A62">
              <w:rPr>
                <w:rFonts w:ascii="Times New Roman" w:eastAsia="Times New Roman" w:hAnsi="Times New Roman" w:cs="Times New Roman"/>
                <w:sz w:val="24"/>
                <w:szCs w:val="24"/>
              </w:rPr>
              <w:t xml:space="preserve">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9C39C4">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 xml:space="preserve">15,00 - </w:t>
            </w:r>
            <w:r w:rsidR="009C39C4">
              <w:rPr>
                <w:rFonts w:ascii="Times New Roman" w:eastAsia="Times New Roman" w:hAnsi="Times New Roman" w:cs="Times New Roman"/>
                <w:sz w:val="24"/>
                <w:szCs w:val="24"/>
                <w:lang w:val="uk-UA"/>
              </w:rPr>
              <w:t>3</w:t>
            </w:r>
            <w:r w:rsidRPr="00156A62">
              <w:rPr>
                <w:rFonts w:ascii="Times New Roman" w:eastAsia="Times New Roman" w:hAnsi="Times New Roman" w:cs="Times New Roman"/>
                <w:sz w:val="24"/>
                <w:szCs w:val="24"/>
              </w:rPr>
              <w:t>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9C39C4">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 xml:space="preserve">1,65 - </w:t>
            </w:r>
            <w:r w:rsidR="009C39C4">
              <w:rPr>
                <w:rFonts w:ascii="Times New Roman" w:eastAsia="Times New Roman" w:hAnsi="Times New Roman" w:cs="Times New Roman"/>
                <w:sz w:val="24"/>
                <w:szCs w:val="24"/>
                <w:lang w:val="uk-UA"/>
              </w:rPr>
              <w:t>2</w:t>
            </w:r>
            <w:r w:rsidRPr="00156A62">
              <w:rPr>
                <w:rFonts w:ascii="Times New Roman" w:eastAsia="Times New Roman" w:hAnsi="Times New Roman" w:cs="Times New Roman"/>
                <w:sz w:val="24"/>
                <w:szCs w:val="24"/>
              </w:rPr>
              <w:t>,</w:t>
            </w:r>
            <w:r w:rsidR="009C39C4">
              <w:rPr>
                <w:rFonts w:ascii="Times New Roman" w:eastAsia="Times New Roman" w:hAnsi="Times New Roman" w:cs="Times New Roman"/>
                <w:sz w:val="24"/>
                <w:szCs w:val="24"/>
                <w:lang w:val="uk-UA"/>
              </w:rPr>
              <w:t>5</w:t>
            </w:r>
            <w:r w:rsidRPr="00156A62">
              <w:rPr>
                <w:rFonts w:ascii="Times New Roman" w:eastAsia="Times New Roman" w:hAnsi="Times New Roman" w:cs="Times New Roman"/>
                <w:sz w:val="24"/>
                <w:szCs w:val="24"/>
              </w:rPr>
              <w:t xml:space="preserve">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highlight w:val="white"/>
        </w:rPr>
      </w:pPr>
    </w:p>
    <w:p w:rsidR="00C02FD9" w:rsidRDefault="00C02FD9"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COVAX KDE 7000T (16 шт.)</w:t>
      </w:r>
    </w:p>
    <w:tbl>
      <w:tblPr>
        <w:tblStyle w:val="ab"/>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5,00 - 6,00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5,5 - 6,5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12,50 - 25,00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1,6 - 2,00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156A62" w:rsidRDefault="00156A62"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lastRenderedPageBreak/>
        <w:t>Генератор COVAX KDE 11000T (4 шт.)</w:t>
      </w:r>
    </w:p>
    <w:tbl>
      <w:tblPr>
        <w:tblStyle w:val="ac"/>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7E1C5A" w:rsidP="007E1C5A">
            <w:pPr>
              <w:widowControl w:val="0"/>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74FA0" w:rsidRPr="00156A62">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5</w:t>
            </w:r>
            <w:r w:rsidR="00474FA0" w:rsidRPr="00156A62">
              <w:rPr>
                <w:rFonts w:ascii="Times New Roman" w:eastAsia="Times New Roman" w:hAnsi="Times New Roman" w:cs="Times New Roman"/>
                <w:sz w:val="24"/>
                <w:szCs w:val="24"/>
              </w:rPr>
              <w:t xml:space="preserve"> - 8,5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7E1C5A" w:rsidP="00156A62">
            <w:pPr>
              <w:widowControl w:val="0"/>
              <w:spacing w:line="240" w:lineRule="auto"/>
              <w:ind w:left="141"/>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8,0</w:t>
            </w:r>
            <w:r w:rsidR="00474FA0" w:rsidRPr="00156A62">
              <w:rPr>
                <w:rFonts w:ascii="Times New Roman" w:eastAsia="Times New Roman" w:hAnsi="Times New Roman" w:cs="Times New Roman"/>
                <w:sz w:val="24"/>
                <w:szCs w:val="24"/>
              </w:rPr>
              <w:t xml:space="preserve"> - 9,5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16,00 - 30,00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2,00 - 3,50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COVAX KDE 12 STA (4 шт.)</w:t>
      </w:r>
    </w:p>
    <w:tbl>
      <w:tblPr>
        <w:tblStyle w:val="ad"/>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03473F">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10,00 - 1</w:t>
            </w:r>
            <w:r w:rsidR="0003473F">
              <w:rPr>
                <w:rFonts w:ascii="Times New Roman" w:eastAsia="Times New Roman" w:hAnsi="Times New Roman" w:cs="Times New Roman"/>
                <w:sz w:val="24"/>
                <w:szCs w:val="24"/>
                <w:lang w:val="uk-UA"/>
              </w:rPr>
              <w:t>1</w:t>
            </w:r>
            <w:r w:rsidRPr="00156A62">
              <w:rPr>
                <w:rFonts w:ascii="Times New Roman" w:eastAsia="Times New Roman" w:hAnsi="Times New Roman" w:cs="Times New Roman"/>
                <w:sz w:val="24"/>
                <w:szCs w:val="24"/>
              </w:rPr>
              <w:t>,</w:t>
            </w:r>
            <w:r w:rsidR="0003473F">
              <w:rPr>
                <w:rFonts w:ascii="Times New Roman" w:eastAsia="Times New Roman" w:hAnsi="Times New Roman" w:cs="Times New Roman"/>
                <w:sz w:val="24"/>
                <w:szCs w:val="24"/>
                <w:lang w:val="uk-UA"/>
              </w:rPr>
              <w:t>0</w:t>
            </w:r>
            <w:r w:rsidRPr="00156A62">
              <w:rPr>
                <w:rFonts w:ascii="Times New Roman" w:eastAsia="Times New Roman" w:hAnsi="Times New Roman" w:cs="Times New Roman"/>
                <w:sz w:val="24"/>
                <w:szCs w:val="24"/>
              </w:rPr>
              <w:t xml:space="preserve">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03473F">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11,00- 1</w:t>
            </w:r>
            <w:r w:rsidR="0003473F">
              <w:rPr>
                <w:rFonts w:ascii="Times New Roman" w:eastAsia="Times New Roman" w:hAnsi="Times New Roman" w:cs="Times New Roman"/>
                <w:sz w:val="24"/>
                <w:szCs w:val="24"/>
                <w:lang w:val="uk-UA"/>
              </w:rPr>
              <w:t>2</w:t>
            </w:r>
            <w:r w:rsidRPr="00156A62">
              <w:rPr>
                <w:rFonts w:ascii="Times New Roman" w:eastAsia="Times New Roman" w:hAnsi="Times New Roman" w:cs="Times New Roman"/>
                <w:sz w:val="24"/>
                <w:szCs w:val="24"/>
              </w:rPr>
              <w:t>,</w:t>
            </w:r>
            <w:r w:rsidR="0003473F">
              <w:rPr>
                <w:rFonts w:ascii="Times New Roman" w:eastAsia="Times New Roman" w:hAnsi="Times New Roman" w:cs="Times New Roman"/>
                <w:sz w:val="24"/>
                <w:szCs w:val="24"/>
                <w:lang w:val="uk-UA"/>
              </w:rPr>
              <w:t>0</w:t>
            </w:r>
            <w:bookmarkStart w:id="1" w:name="_GoBack"/>
            <w:bookmarkEnd w:id="1"/>
            <w:r w:rsidRPr="00156A62">
              <w:rPr>
                <w:rFonts w:ascii="Times New Roman" w:eastAsia="Times New Roman" w:hAnsi="Times New Roman" w:cs="Times New Roman"/>
                <w:sz w:val="24"/>
                <w:szCs w:val="24"/>
              </w:rPr>
              <w:t xml:space="preserve">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повітряний/рідинний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25,00 - 30,00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1,7 - 3,50л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Датчик рівня палива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Датчик рівня оливи</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дизельний 3,00-3,5 кВт</w:t>
      </w:r>
      <w:r w:rsidR="00C02FD9">
        <w:rPr>
          <w:rFonts w:ascii="Times New Roman" w:eastAsia="Times New Roman" w:hAnsi="Times New Roman" w:cs="Times New Roman"/>
          <w:b/>
          <w:sz w:val="24"/>
          <w:szCs w:val="24"/>
          <w:lang w:val="uk-UA"/>
        </w:rPr>
        <w:t xml:space="preserve">  </w:t>
      </w:r>
      <w:r w:rsidRPr="00156A62">
        <w:rPr>
          <w:rFonts w:ascii="Times New Roman" w:eastAsia="Times New Roman" w:hAnsi="Times New Roman" w:cs="Times New Roman"/>
          <w:b/>
          <w:sz w:val="24"/>
          <w:szCs w:val="24"/>
        </w:rPr>
        <w:t>(10 шт.)</w:t>
      </w:r>
    </w:p>
    <w:p w:rsidR="00CD27E0" w:rsidRPr="00156A62" w:rsidRDefault="00CD27E0" w:rsidP="00156A62">
      <w:pPr>
        <w:shd w:val="clear" w:color="auto" w:fill="FFFFFF"/>
        <w:spacing w:line="240" w:lineRule="auto"/>
        <w:rPr>
          <w:rFonts w:ascii="Times New Roman" w:eastAsia="Times New Roman" w:hAnsi="Times New Roman" w:cs="Times New Roman"/>
          <w:sz w:val="24"/>
          <w:szCs w:val="24"/>
          <w:highlight w:val="white"/>
        </w:rPr>
      </w:pPr>
    </w:p>
    <w:tbl>
      <w:tblPr>
        <w:tblStyle w:val="ae"/>
        <w:tblW w:w="9390"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5160"/>
        <w:gridCol w:w="4230"/>
      </w:tblGrid>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дизель</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2,8 - 3,2 кВт</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lastRenderedPageBreak/>
              <w:t>Максимальна потужність</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3,00 - 3,5 кВт</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1</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220-230В</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4</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повітряний</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10,00 -18,00 л</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0,6 - 1,7 л</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Вольтметр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rPr>
          <w:rFonts w:ascii="Times New Roman" w:eastAsia="Times New Roman" w:hAnsi="Times New Roman" w:cs="Times New Roman"/>
          <w:b/>
          <w:sz w:val="24"/>
          <w:szCs w:val="24"/>
        </w:rPr>
      </w:pPr>
    </w:p>
    <w:p w:rsidR="00CD27E0" w:rsidRPr="00156A62" w:rsidRDefault="00474FA0" w:rsidP="00156A62">
      <w:pPr>
        <w:shd w:val="clear" w:color="auto" w:fill="FFFFFF"/>
        <w:spacing w:line="240" w:lineRule="auto"/>
        <w:jc w:val="both"/>
        <w:rPr>
          <w:rFonts w:ascii="Times New Roman" w:eastAsia="Times New Roman" w:hAnsi="Times New Roman" w:cs="Times New Roman"/>
          <w:b/>
          <w:i/>
          <w:sz w:val="24"/>
          <w:szCs w:val="24"/>
          <w:highlight w:val="white"/>
        </w:rPr>
      </w:pPr>
      <w:r w:rsidRPr="00156A62">
        <w:rPr>
          <w:rFonts w:ascii="Times New Roman" w:eastAsia="Times New Roman" w:hAnsi="Times New Roman" w:cs="Times New Roman"/>
          <w:b/>
          <w:i/>
          <w:sz w:val="24"/>
          <w:szCs w:val="24"/>
          <w:highlight w:val="white"/>
        </w:rPr>
        <w:t>Інші вимоги до предмету закупівлі:</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упаковка повинна забезпечувати збереження, цілісність та відсутність механічних пошкоджень;</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товар повинен бути новим, без зовнішніх пошкоджень, не брудний, не битий;</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обладнання повинно мати гарний зовнішній вигляд, захист від корозії, не перегріватись, бути безпечним для використання;</w:t>
      </w:r>
    </w:p>
    <w:p w:rsidR="00F836F5" w:rsidRPr="000C247A" w:rsidRDefault="00474FA0" w:rsidP="00F836F5">
      <w:pPr>
        <w:numPr>
          <w:ilvl w:val="0"/>
          <w:numId w:val="3"/>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F836F5">
        <w:rPr>
          <w:rFonts w:ascii="Times New Roman" w:eastAsia="Times New Roman" w:hAnsi="Times New Roman" w:cs="Times New Roman"/>
          <w:sz w:val="24"/>
          <w:szCs w:val="24"/>
          <w:highlight w:val="white"/>
          <w:u w:val="single"/>
        </w:rPr>
        <w:t>Увага!</w:t>
      </w:r>
      <w:r w:rsidRPr="00F836F5">
        <w:rPr>
          <w:rFonts w:ascii="Times New Roman" w:eastAsia="Times New Roman" w:hAnsi="Times New Roman" w:cs="Times New Roman"/>
          <w:sz w:val="24"/>
          <w:szCs w:val="24"/>
          <w:highlight w:val="white"/>
        </w:rPr>
        <w:t xml:space="preserve"> При постачанні товару в видатковій накладній або в додатку до видаткової повинні бути вказані серійні номери поставлених генераторів</w:t>
      </w:r>
      <w:r w:rsidR="00F836F5">
        <w:rPr>
          <w:rFonts w:ascii="Times New Roman" w:eastAsia="Times New Roman" w:hAnsi="Times New Roman" w:cs="Times New Roman"/>
          <w:sz w:val="24"/>
          <w:szCs w:val="24"/>
          <w:lang w:val="uk-UA"/>
        </w:rPr>
        <w:t xml:space="preserve"> </w:t>
      </w:r>
      <w:r w:rsidR="00F836F5" w:rsidRPr="000C247A">
        <w:rPr>
          <w:rFonts w:ascii="Times New Roman" w:eastAsia="Times New Roman" w:hAnsi="Times New Roman" w:cs="Times New Roman"/>
          <w:i/>
          <w:sz w:val="24"/>
          <w:szCs w:val="24"/>
        </w:rPr>
        <w:t>(відповідно до зразку Додаток 6</w:t>
      </w:r>
      <w:r w:rsidR="00F836F5" w:rsidRPr="000C247A">
        <w:rPr>
          <w:rFonts w:ascii="Times New Roman" w:eastAsia="Times New Roman" w:hAnsi="Times New Roman" w:cs="Times New Roman"/>
          <w:i/>
          <w:sz w:val="24"/>
          <w:szCs w:val="24"/>
          <w:lang w:val="ru-RU"/>
        </w:rPr>
        <w:t xml:space="preserve"> </w:t>
      </w:r>
      <w:proofErr w:type="spellStart"/>
      <w:r w:rsidR="00F836F5" w:rsidRPr="000C247A">
        <w:rPr>
          <w:rFonts w:ascii="Times New Roman" w:eastAsia="Times New Roman" w:hAnsi="Times New Roman" w:cs="Times New Roman"/>
          <w:i/>
          <w:sz w:val="24"/>
          <w:szCs w:val="24"/>
          <w:lang w:val="ru-RU"/>
        </w:rPr>
        <w:t>тендерної</w:t>
      </w:r>
      <w:proofErr w:type="spellEnd"/>
      <w:r w:rsidR="00F836F5" w:rsidRPr="000C247A">
        <w:rPr>
          <w:rFonts w:ascii="Times New Roman" w:eastAsia="Times New Roman" w:hAnsi="Times New Roman" w:cs="Times New Roman"/>
          <w:i/>
          <w:sz w:val="24"/>
          <w:szCs w:val="24"/>
          <w:lang w:val="ru-RU"/>
        </w:rPr>
        <w:t xml:space="preserve"> </w:t>
      </w:r>
      <w:r w:rsidR="00F836F5" w:rsidRPr="000C247A">
        <w:rPr>
          <w:rFonts w:ascii="Times New Roman" w:eastAsia="Times New Roman" w:hAnsi="Times New Roman" w:cs="Times New Roman"/>
          <w:i/>
          <w:sz w:val="24"/>
          <w:szCs w:val="24"/>
          <w:lang w:val="uk-UA"/>
        </w:rPr>
        <w:t>документації</w:t>
      </w:r>
      <w:r w:rsidR="00F836F5" w:rsidRPr="000C247A">
        <w:rPr>
          <w:rFonts w:ascii="Times New Roman" w:eastAsia="Times New Roman" w:hAnsi="Times New Roman" w:cs="Times New Roman"/>
          <w:i/>
          <w:sz w:val="24"/>
          <w:szCs w:val="24"/>
        </w:rPr>
        <w:t>)</w:t>
      </w:r>
    </w:p>
    <w:p w:rsidR="00CD27E0" w:rsidRPr="00F836F5" w:rsidRDefault="00CD27E0" w:rsidP="008E60DD">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p>
    <w:p w:rsidR="00CD27E0" w:rsidRPr="00156A62" w:rsidRDefault="00474FA0" w:rsidP="00156A62">
      <w:pPr>
        <w:shd w:val="clear" w:color="auto" w:fill="FFFFFF"/>
        <w:spacing w:line="240" w:lineRule="auto"/>
        <w:ind w:left="-141" w:firstLine="570"/>
        <w:jc w:val="both"/>
        <w:rPr>
          <w:rFonts w:ascii="Times New Roman" w:eastAsia="Times New Roman" w:hAnsi="Times New Roman" w:cs="Times New Roman"/>
          <w:b/>
          <w:i/>
          <w:sz w:val="24"/>
          <w:szCs w:val="24"/>
          <w:highlight w:val="white"/>
        </w:rPr>
      </w:pPr>
      <w:r w:rsidRPr="00156A62">
        <w:rPr>
          <w:rFonts w:ascii="Times New Roman" w:eastAsia="Times New Roman" w:hAnsi="Times New Roman" w:cs="Times New Roman"/>
          <w:b/>
          <w:i/>
          <w:sz w:val="24"/>
          <w:szCs w:val="24"/>
          <w:highlight w:val="white"/>
        </w:rPr>
        <w:t>Учасник у складі тендерної пропозиції повинен надати:</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 xml:space="preserve"> сертифікат або інший документ, що підтверджує ідентифікацію та фактичні значення показників даного товару, українською мовою, виданий виробником товару;</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u w:val="single"/>
        </w:rPr>
        <w:t>Увага!</w:t>
      </w:r>
      <w:r w:rsidRPr="00156A62">
        <w:rPr>
          <w:rFonts w:ascii="Times New Roman" w:eastAsia="Times New Roman" w:hAnsi="Times New Roman" w:cs="Times New Roman"/>
          <w:sz w:val="24"/>
          <w:szCs w:val="24"/>
          <w:highlight w:val="white"/>
        </w:rPr>
        <w:t xml:space="preserve"> маркування відповідно до стандартів виробника повинно бути ідентичним як на оригінальній упаковці так і на товарі;</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color w:val="222222"/>
          <w:sz w:val="24"/>
          <w:szCs w:val="24"/>
        </w:rPr>
        <w:t xml:space="preserve">реальне фото товару (товар повинен повністю відповідати фотографії наданої постачальником у </w:t>
      </w:r>
      <w:proofErr w:type="spellStart"/>
      <w:r w:rsidRPr="00156A62">
        <w:rPr>
          <w:rFonts w:ascii="Times New Roman" w:eastAsia="Times New Roman" w:hAnsi="Times New Roman" w:cs="Times New Roman"/>
          <w:color w:val="222222"/>
          <w:sz w:val="24"/>
          <w:szCs w:val="24"/>
        </w:rPr>
        <w:t>т.ч</w:t>
      </w:r>
      <w:proofErr w:type="spellEnd"/>
      <w:r w:rsidRPr="00156A62">
        <w:rPr>
          <w:rFonts w:ascii="Times New Roman" w:eastAsia="Times New Roman" w:hAnsi="Times New Roman" w:cs="Times New Roman"/>
          <w:color w:val="222222"/>
          <w:sz w:val="24"/>
          <w:szCs w:val="24"/>
        </w:rPr>
        <w:t>. на якому буде вказана марка запропонованого товару);</w:t>
      </w:r>
    </w:p>
    <w:p w:rsidR="00A02014" w:rsidRPr="00A02014" w:rsidRDefault="00A02014" w:rsidP="00A02014">
      <w:pPr>
        <w:shd w:val="clear" w:color="auto" w:fill="FFFFFF"/>
        <w:spacing w:line="240" w:lineRule="auto"/>
        <w:ind w:firstLine="429"/>
        <w:jc w:val="both"/>
        <w:rPr>
          <w:rFonts w:ascii="Times New Roman" w:eastAsia="Times New Roman" w:hAnsi="Times New Roman" w:cs="Times New Roman"/>
          <w:color w:val="222222"/>
          <w:sz w:val="24"/>
          <w:szCs w:val="24"/>
        </w:rPr>
      </w:pPr>
      <w:r w:rsidRPr="00A02014">
        <w:rPr>
          <w:rFonts w:ascii="Times New Roman" w:eastAsia="Times New Roman" w:hAnsi="Times New Roman" w:cs="Times New Roman"/>
          <w:color w:val="222222"/>
          <w:sz w:val="24"/>
          <w:szCs w:val="24"/>
          <w:lang w:val="uk-UA"/>
        </w:rPr>
        <w:t xml:space="preserve">- </w:t>
      </w:r>
      <w:r w:rsidRPr="00A02014">
        <w:rPr>
          <w:rFonts w:ascii="Times New Roman" w:eastAsia="Times New Roman" w:hAnsi="Times New Roman" w:cs="Times New Roman"/>
          <w:color w:val="222222"/>
          <w:sz w:val="24"/>
          <w:szCs w:val="24"/>
        </w:rPr>
        <w:t>посилання на характеристики запропонованого товару на сайті виробника, дилера, інтернет-магазину тощо;</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rPr>
        <w:t>гарантійний лист  учасника з вказаним строком гарантії на Товар, який не менше гарантійного строку заводу-виробника або гарантійний талон із зазначенням гарантійного терміну</w:t>
      </w:r>
      <w:r w:rsidRPr="00156A62">
        <w:rPr>
          <w:rFonts w:ascii="Times New Roman" w:eastAsia="Times New Roman" w:hAnsi="Times New Roman" w:cs="Times New Roman"/>
          <w:sz w:val="24"/>
          <w:szCs w:val="24"/>
          <w:highlight w:val="white"/>
        </w:rPr>
        <w:t>.</w:t>
      </w:r>
    </w:p>
    <w:p w:rsidR="00CD27E0" w:rsidRPr="00156A62" w:rsidRDefault="00CD27E0" w:rsidP="00156A62">
      <w:pPr>
        <w:shd w:val="clear" w:color="auto" w:fill="FFFFFF"/>
        <w:spacing w:line="240" w:lineRule="auto"/>
        <w:ind w:left="1440"/>
        <w:jc w:val="both"/>
        <w:rPr>
          <w:rFonts w:ascii="Times New Roman" w:eastAsia="Times New Roman" w:hAnsi="Times New Roman" w:cs="Times New Roman"/>
          <w:sz w:val="24"/>
          <w:szCs w:val="24"/>
          <w:highlight w:val="white"/>
        </w:rPr>
      </w:pPr>
    </w:p>
    <w:p w:rsidR="00CD27E0" w:rsidRPr="00156A62" w:rsidRDefault="00474FA0" w:rsidP="00156A62">
      <w:pPr>
        <w:shd w:val="clear" w:color="auto" w:fill="FFFFFF"/>
        <w:spacing w:line="240" w:lineRule="auto"/>
        <w:jc w:val="both"/>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highlight w:val="white"/>
        </w:rPr>
        <w:t>*Доставка товару, завантажувальні, а також розвантажувальні роботи здійснюються за рахунок та силами Постачальника</w:t>
      </w:r>
    </w:p>
    <w:p w:rsidR="00CD27E0" w:rsidRDefault="00CD27E0">
      <w:pPr>
        <w:jc w:val="center"/>
        <w:rPr>
          <w:rFonts w:ascii="Times New Roman" w:eastAsia="Times New Roman" w:hAnsi="Times New Roman" w:cs="Times New Roman"/>
          <w:b/>
          <w:sz w:val="28"/>
          <w:szCs w:val="28"/>
        </w:rPr>
      </w:pPr>
    </w:p>
    <w:p w:rsidR="00156A62" w:rsidRPr="00BA67F3" w:rsidRDefault="00156A62" w:rsidP="00156A62">
      <w:pPr>
        <w:spacing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Pr="00BA67F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та/</w:t>
      </w:r>
      <w:r w:rsidRPr="00BA67F3">
        <w:rPr>
          <w:rFonts w:ascii="Times New Roman" w:eastAsia="Calibri" w:hAnsi="Times New Roman" w:cs="Times New Roman"/>
          <w:b/>
          <w:i/>
          <w:sz w:val="24"/>
          <w:szCs w:val="24"/>
        </w:rPr>
        <w:t>або знаходяться в інтервальних межах, що зазначаються замовником.</w:t>
      </w:r>
    </w:p>
    <w:p w:rsidR="00156A62" w:rsidRDefault="00156A62" w:rsidP="00156A62">
      <w:pPr>
        <w:spacing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8C3152">
        <w:rPr>
          <w:rFonts w:ascii="Times New Roman" w:hAnsi="Times New Roman" w:cs="Times New Roman"/>
          <w:b/>
          <w:i/>
          <w:sz w:val="24"/>
          <w:szCs w:val="24"/>
        </w:rPr>
        <w:t xml:space="preserve"> вимогам та потребам замовника і здійснюється на виконання заходів та потреби військових формувань для територіальної оборони на період дії воєнного стану</w:t>
      </w:r>
      <w:r>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rsidR="00156A62" w:rsidRPr="009B4648" w:rsidRDefault="00156A62" w:rsidP="00156A62">
      <w:pPr>
        <w:spacing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156A62" w:rsidRPr="009B4648" w:rsidRDefault="00156A62" w:rsidP="00156A62">
      <w:pPr>
        <w:spacing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156A62" w:rsidRPr="009B4648" w:rsidRDefault="00156A62" w:rsidP="00156A62">
      <w:pPr>
        <w:spacing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f"/>
        <w:tblW w:w="0" w:type="auto"/>
        <w:tblLook w:val="04A0" w:firstRow="1" w:lastRow="0" w:firstColumn="1" w:lastColumn="0" w:noHBand="0" w:noVBand="1"/>
      </w:tblPr>
      <w:tblGrid>
        <w:gridCol w:w="4509"/>
        <w:gridCol w:w="4510"/>
      </w:tblGrid>
      <w:tr w:rsidR="00156A62" w:rsidRPr="009B4648" w:rsidTr="00D9454A">
        <w:tc>
          <w:tcPr>
            <w:tcW w:w="5210" w:type="dxa"/>
          </w:tcPr>
          <w:p w:rsidR="00156A62" w:rsidRPr="009B4648" w:rsidRDefault="00156A62"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товару та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вимагаються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Замовником</w:t>
            </w:r>
            <w:proofErr w:type="spellEnd"/>
          </w:p>
        </w:tc>
        <w:tc>
          <w:tcPr>
            <w:tcW w:w="5211" w:type="dxa"/>
          </w:tcPr>
          <w:p w:rsidR="00156A62" w:rsidRPr="009B4648" w:rsidRDefault="00156A62"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еквіваленту</w:t>
            </w:r>
            <w:proofErr w:type="spellEnd"/>
            <w:r w:rsidRPr="009B4648">
              <w:rPr>
                <w:rFonts w:ascii="Times New Roman" w:eastAsia="Calibri" w:hAnsi="Times New Roman" w:cs="Times New Roman"/>
                <w:i/>
                <w:sz w:val="24"/>
                <w:szCs w:val="24"/>
              </w:rPr>
              <w:t xml:space="preserve"> товару та</w:t>
            </w:r>
            <w:r>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пропонується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учасником</w:t>
            </w:r>
            <w:proofErr w:type="spellEnd"/>
          </w:p>
        </w:tc>
      </w:tr>
      <w:tr w:rsidR="00156A62" w:rsidRPr="009B4648" w:rsidTr="00D9454A">
        <w:tc>
          <w:tcPr>
            <w:tcW w:w="5210" w:type="dxa"/>
          </w:tcPr>
          <w:p w:rsidR="00156A62" w:rsidRPr="009B4648" w:rsidRDefault="00156A62" w:rsidP="00D9454A">
            <w:pPr>
              <w:jc w:val="both"/>
              <w:rPr>
                <w:rFonts w:ascii="Times New Roman" w:eastAsia="Calibri" w:hAnsi="Times New Roman" w:cs="Times New Roman"/>
                <w:sz w:val="24"/>
                <w:szCs w:val="24"/>
              </w:rPr>
            </w:pPr>
          </w:p>
        </w:tc>
        <w:tc>
          <w:tcPr>
            <w:tcW w:w="5211" w:type="dxa"/>
          </w:tcPr>
          <w:p w:rsidR="00156A62" w:rsidRPr="009B4648" w:rsidRDefault="00156A62" w:rsidP="00D9454A">
            <w:pPr>
              <w:jc w:val="both"/>
              <w:rPr>
                <w:rFonts w:ascii="Times New Roman" w:eastAsia="Calibri" w:hAnsi="Times New Roman" w:cs="Times New Roman"/>
                <w:sz w:val="24"/>
                <w:szCs w:val="24"/>
              </w:rPr>
            </w:pPr>
          </w:p>
        </w:tc>
      </w:tr>
    </w:tbl>
    <w:p w:rsidR="00156A62" w:rsidRDefault="00156A62" w:rsidP="00474FA0">
      <w:pPr>
        <w:shd w:val="clear" w:color="auto" w:fill="FFFFFF"/>
        <w:spacing w:after="240" w:line="240" w:lineRule="auto"/>
        <w:jc w:val="both"/>
      </w:pPr>
    </w:p>
    <w:sectPr w:rsidR="00156A62">
      <w:pgSz w:w="11909" w:h="16834"/>
      <w:pgMar w:top="708" w:right="1440" w:bottom="69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26334"/>
    <w:multiLevelType w:val="multilevel"/>
    <w:tmpl w:val="FE98C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941399"/>
    <w:multiLevelType w:val="multilevel"/>
    <w:tmpl w:val="F1224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E37158"/>
    <w:multiLevelType w:val="multilevel"/>
    <w:tmpl w:val="323EDE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E0"/>
    <w:rsid w:val="0003473F"/>
    <w:rsid w:val="00156A62"/>
    <w:rsid w:val="00474FA0"/>
    <w:rsid w:val="006032A2"/>
    <w:rsid w:val="007E1C5A"/>
    <w:rsid w:val="009C39C4"/>
    <w:rsid w:val="00A02014"/>
    <w:rsid w:val="00B9390D"/>
    <w:rsid w:val="00C02FD9"/>
    <w:rsid w:val="00C41C7D"/>
    <w:rsid w:val="00CD27E0"/>
    <w:rsid w:val="00D109B3"/>
    <w:rsid w:val="00E60094"/>
    <w:rsid w:val="00F8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129D"/>
  <w15:docId w15:val="{0B4F1892-36BC-4B54-A16A-082615D1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left w:w="115" w:type="dxa"/>
        <w:right w:w="115" w:type="dxa"/>
      </w:tblCellMar>
    </w:tblPr>
    <w:tcPr>
      <w:shd w:val="clear" w:color="auto" w:fill="FFFFFF"/>
    </w:tcPr>
  </w:style>
  <w:style w:type="table" w:customStyle="1" w:styleId="aa">
    <w:basedOn w:val="TableNormal0"/>
    <w:tblPr>
      <w:tblStyleRowBandSize w:val="1"/>
      <w:tblStyleColBandSize w:val="1"/>
      <w:tblCellMar>
        <w:left w:w="115" w:type="dxa"/>
        <w:right w:w="115" w:type="dxa"/>
      </w:tblCellMar>
    </w:tblPr>
    <w:tcPr>
      <w:shd w:val="clear" w:color="auto" w:fill="FFFFFF"/>
    </w:tcPr>
  </w:style>
  <w:style w:type="table" w:customStyle="1" w:styleId="ab">
    <w:basedOn w:val="TableNormal0"/>
    <w:tblPr>
      <w:tblStyleRowBandSize w:val="1"/>
      <w:tblStyleColBandSize w:val="1"/>
      <w:tblCellMar>
        <w:left w:w="115" w:type="dxa"/>
        <w:right w:w="115" w:type="dxa"/>
      </w:tblCellMar>
    </w:tblPr>
    <w:tcPr>
      <w:shd w:val="clear" w:color="auto" w:fill="FFFFFF"/>
    </w:tcPr>
  </w:style>
  <w:style w:type="table" w:customStyle="1" w:styleId="ac">
    <w:basedOn w:val="TableNormal0"/>
    <w:tblPr>
      <w:tblStyleRowBandSize w:val="1"/>
      <w:tblStyleColBandSize w:val="1"/>
      <w:tblCellMar>
        <w:left w:w="115" w:type="dxa"/>
        <w:right w:w="115" w:type="dxa"/>
      </w:tblCellMar>
    </w:tblPr>
    <w:tcPr>
      <w:shd w:val="clear" w:color="auto" w:fill="FFFFFF"/>
    </w:tcPr>
  </w:style>
  <w:style w:type="table" w:customStyle="1" w:styleId="ad">
    <w:basedOn w:val="TableNormal0"/>
    <w:tblPr>
      <w:tblStyleRowBandSize w:val="1"/>
      <w:tblStyleColBandSize w:val="1"/>
      <w:tblCellMar>
        <w:left w:w="115" w:type="dxa"/>
        <w:right w:w="115" w:type="dxa"/>
      </w:tblCellMar>
    </w:tblPr>
    <w:tcPr>
      <w:shd w:val="clear" w:color="auto" w:fill="FFFFFF"/>
    </w:tcPr>
  </w:style>
  <w:style w:type="table" w:customStyle="1" w:styleId="ae">
    <w:basedOn w:val="TableNormal0"/>
    <w:tblPr>
      <w:tblStyleRowBandSize w:val="1"/>
      <w:tblStyleColBandSize w:val="1"/>
      <w:tblCellMar>
        <w:left w:w="115" w:type="dxa"/>
        <w:right w:w="115" w:type="dxa"/>
      </w:tblCellMar>
    </w:tblPr>
    <w:tcPr>
      <w:shd w:val="clear" w:color="auto" w:fill="FFFFFF"/>
    </w:tcPr>
  </w:style>
  <w:style w:type="table" w:styleId="af">
    <w:name w:val="Table Grid"/>
    <w:basedOn w:val="a1"/>
    <w:uiPriority w:val="59"/>
    <w:rsid w:val="00156A62"/>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02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kVlZ5TFDN8Y6ovv9GHGZwKWDQA==">CgMxLjAyCGguZ2pkZ3hzOAByITFZb1NuYkp3ZmJBT3djSnNlUEl3Y3ZfdTJGTVJhR2Y5Rw==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econom428_1</dc:creator>
  <cp:lastModifiedBy>econom428_1</cp:lastModifiedBy>
  <cp:revision>6</cp:revision>
  <dcterms:created xsi:type="dcterms:W3CDTF">2024-03-15T09:39:00Z</dcterms:created>
  <dcterms:modified xsi:type="dcterms:W3CDTF">2024-03-15T09:43:00Z</dcterms:modified>
</cp:coreProperties>
</file>