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 w:val="clear"/>
        <w:suppressAutoHyphens w:val="true"/>
        <w:spacing w:lineRule="auto" w:line="240" w:before="0" w:after="0"/>
        <w:ind w:left="30" w:right="0" w:hanging="0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ar-SA"/>
        </w:rPr>
        <w:t>Додаток № 1</w:t>
      </w:r>
    </w:p>
    <w:p>
      <w:pPr>
        <w:pStyle w:val="Normal"/>
        <w:shd w:fill="FFFFFF" w:val="clear"/>
        <w:spacing w:lineRule="auto" w:line="240" w:before="0" w:after="0"/>
        <w:ind w:left="5400" w:right="0" w:firstLine="450"/>
        <w:jc w:val="right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до тендерної документації 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/>
          <w:b/>
          <w:bCs/>
          <w:sz w:val="16"/>
          <w:szCs w:val="16"/>
          <w:lang w:val="uk-UA" w:eastAsia="ar-SA"/>
        </w:rPr>
      </w:pPr>
      <w:r>
        <w:rPr>
          <w:rFonts w:ascii="Times New Roman" w:hAnsi="Times New Roman"/>
          <w:b/>
          <w:bCs/>
          <w:sz w:val="16"/>
          <w:szCs w:val="16"/>
          <w:lang w:val="uk-UA" w:eastAsia="ar-SA"/>
        </w:rPr>
      </w:r>
    </w:p>
    <w:p>
      <w:pPr>
        <w:pStyle w:val="Normal"/>
        <w:suppressAutoHyphens w:val="true"/>
        <w:spacing w:lineRule="auto" w:line="360"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Інформація про необхідні технічні, якісні та кількісні характеристики предмета закупівлі, у тому числі відповідна технічна специфікація “Автомобіль Renault Duster </w:t>
      </w:r>
    </w:p>
    <w:p>
      <w:pPr>
        <w:pStyle w:val="Normal"/>
        <w:suppressAutoHyphens w:val="true"/>
        <w:spacing w:lineRule="auto" w:line="360"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“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або еквівалент” </w:t>
      </w:r>
      <w:r>
        <w:rPr>
          <w:rFonts w:eastAsia="Times New Roman" w:ascii="Times New Roman" w:hAnsi="Times New Roman"/>
          <w:b/>
          <w:bCs/>
          <w:i w:val="false"/>
          <w:iCs w:val="false"/>
          <w:sz w:val="24"/>
          <w:szCs w:val="24"/>
          <w:lang w:val="uk-UA" w:eastAsia="ar-SA"/>
        </w:rPr>
        <w:t>(код ДК 021:2015 – 34110000-1. Легкові автомобілі)”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2"/>
          <w:szCs w:val="22"/>
          <w:lang w:val="uk-UA" w:eastAsia="ar-SA"/>
        </w:rPr>
        <w:t>: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/>
          <w:lang w:val="uk-UA" w:eastAsia="ar-SA"/>
        </w:rPr>
      </w:pPr>
      <w:r>
        <w:rPr>
          <w:rFonts w:eastAsia="Times New Roman" w:ascii="Times New Roman" w:hAnsi="Times New Roman"/>
          <w:lang w:val="uk-UA" w:eastAsia="ar-SA"/>
        </w:rPr>
      </w:r>
    </w:p>
    <w:p>
      <w:pPr>
        <w:pStyle w:val="Normal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ar-SA"/>
        </w:rPr>
        <w:t>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ar-SA"/>
        </w:rPr>
        <w:t xml:space="preserve"> Технічні, якісні та кількісні характеристики, запропонованого учасниками процедури закупівлі товару, повинні відповідати або бути еквівалентними, аналогічними чи бути кращими за нижченаведені показники:</w:t>
      </w:r>
    </w:p>
    <w:tbl>
      <w:tblPr>
        <w:tblW w:w="10320" w:type="dxa"/>
        <w:jc w:val="left"/>
        <w:tblInd w:w="-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0"/>
        <w:gridCol w:w="5190"/>
      </w:tblGrid>
      <w:tr>
        <w:trPr>
          <w:trHeight w:val="559" w:hRule="atLeast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  <w:b w:val="false"/>
                <w:bCs w:val="fals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lang w:val="uk-UA"/>
              </w:rPr>
              <w:t>Найменування товару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Cs w:val="fals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lang w:val="uk-UA"/>
              </w:rPr>
              <w:t xml:space="preserve">Автомобіль Renault Duster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Cs w:val="fals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lang w:val="uk-UA"/>
              </w:rPr>
              <w:t>“</w:t>
            </w:r>
            <w:r>
              <w:rPr>
                <w:rFonts w:ascii="Times New Roman" w:hAnsi="Times New Roman"/>
                <w:b w:val="false"/>
                <w:bCs w:val="false"/>
                <w:lang w:val="uk-UA"/>
              </w:rPr>
              <w:t>або еквівалент”</w:t>
            </w:r>
          </w:p>
        </w:tc>
      </w:tr>
      <w:tr>
        <w:trPr>
          <w:trHeight w:val="559" w:hRule="atLeast"/>
        </w:trPr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  <w:b w:val="false"/>
                <w:bCs w:val="fals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lang w:val="uk-UA"/>
              </w:rPr>
              <w:t>Версія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Cs w:val="fals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lang w:val="uk-UA"/>
              </w:rPr>
              <w:t>Бензин 1.6 (115 к.с.) 4x2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 w:val="false"/>
        <w:shd w:fill="FFFFFF" w:val="clear"/>
        <w:tabs>
          <w:tab w:val="clear" w:pos="709"/>
          <w:tab w:val="left" w:pos="444" w:leader="none"/>
        </w:tabs>
        <w:suppressAutoHyphens w:val="true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>ТЕХНІЧНІ ХАРАКТЕРИСТИКИ</w:t>
      </w:r>
    </w:p>
    <w:tbl>
      <w:tblPr>
        <w:tblW w:w="5000" w:type="pct"/>
        <w:jc w:val="center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8224"/>
        <w:gridCol w:w="2122"/>
      </w:tblGrid>
      <w:tr>
        <w:trPr/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Пальне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NouvelR"/>
                <w:b w:val="false"/>
                <w:bCs w:val="false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NouvelR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zh-CN" w:bidi="ar-SA"/>
              </w:rPr>
              <w:t>Бензин</w:t>
            </w:r>
          </w:p>
        </w:tc>
      </w:tr>
      <w:tr>
        <w:trPr/>
        <w:tc>
          <w:tcPr>
            <w:tcW w:w="82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Коробка передач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МКПП 5</w:t>
            </w:r>
          </w:p>
        </w:tc>
      </w:tr>
      <w:tr>
        <w:trPr/>
        <w:tc>
          <w:tcPr>
            <w:tcW w:w="82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Привод коліс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Передній</w:t>
            </w:r>
          </w:p>
        </w:tc>
      </w:tr>
      <w:tr>
        <w:trPr/>
        <w:tc>
          <w:tcPr>
            <w:tcW w:w="82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Потужність (кВт (к.с.)) при об/хв)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84 (115) / 5500</w:t>
            </w:r>
          </w:p>
        </w:tc>
      </w:tr>
      <w:tr>
        <w:trPr/>
        <w:tc>
          <w:tcPr>
            <w:tcW w:w="82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Обертальний момент (Нм при об/хв)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156 / 40</w:t>
            </w: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0</w:t>
            </w: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0</w:t>
            </w:r>
          </w:p>
        </w:tc>
      </w:tr>
      <w:tr>
        <w:trPr/>
        <w:tc>
          <w:tcPr>
            <w:tcW w:w="82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Об</w:t>
            </w: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</w:rPr>
              <w:t>’</w:t>
            </w: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єм двигуна (см</w:t>
            </w: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1598</w:t>
            </w:r>
          </w:p>
        </w:tc>
      </w:tr>
      <w:tr>
        <w:trPr/>
        <w:tc>
          <w:tcPr>
            <w:tcW w:w="82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К-ть циліндрів / клапанів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4 / 16</w:t>
            </w:r>
          </w:p>
        </w:tc>
      </w:tr>
      <w:tr>
        <w:trPr/>
        <w:tc>
          <w:tcPr>
            <w:tcW w:w="82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Норми токсичності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en-US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Euro 5</w:t>
            </w:r>
          </w:p>
        </w:tc>
      </w:tr>
      <w:tr>
        <w:trPr/>
        <w:tc>
          <w:tcPr>
            <w:tcW w:w="82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Макс. швидкість (км/год)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167</w:t>
            </w:r>
          </w:p>
        </w:tc>
      </w:tr>
      <w:tr>
        <w:trPr/>
        <w:tc>
          <w:tcPr>
            <w:tcW w:w="82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Розгін 0-100 км/год (сек)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11,0</w:t>
            </w:r>
          </w:p>
        </w:tc>
      </w:tr>
      <w:tr>
        <w:trPr/>
        <w:tc>
          <w:tcPr>
            <w:tcW w:w="82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Об</w:t>
            </w: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’</w:t>
            </w: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єм бака для пального (л)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50</w:t>
            </w:r>
          </w:p>
        </w:tc>
      </w:tr>
      <w:tr>
        <w:trPr/>
        <w:tc>
          <w:tcPr>
            <w:tcW w:w="82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Витрати пального (л/100 км)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8</w:t>
            </w: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,8</w:t>
            </w: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 xml:space="preserve"> </w:t>
            </w: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/</w:t>
            </w: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 xml:space="preserve"> 7</w:t>
            </w: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,</w:t>
            </w: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 xml:space="preserve">0 </w:t>
            </w: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/</w:t>
            </w: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 xml:space="preserve"> 5,9</w:t>
            </w:r>
          </w:p>
        </w:tc>
      </w:tr>
      <w:tr>
        <w:trPr/>
        <w:tc>
          <w:tcPr>
            <w:tcW w:w="82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NouvelR"/>
                <w:b w:val="false"/>
                <w:bCs w:val="false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NouvelR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zh-CN" w:bidi="ar-SA"/>
              </w:rPr>
              <w:t>Діаметр розвороту (м)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NouvelR"/>
                <w:b w:val="false"/>
                <w:bCs w:val="false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NouvelR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zh-CN" w:bidi="ar-SA"/>
              </w:rPr>
              <w:t>10,14</w:t>
            </w:r>
          </w:p>
        </w:tc>
      </w:tr>
      <w:tr>
        <w:trPr/>
        <w:tc>
          <w:tcPr>
            <w:tcW w:w="82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NouvelR"/>
                <w:b w:val="false"/>
                <w:bCs w:val="false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NouvelR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zh-CN" w:bidi="ar-SA"/>
              </w:rPr>
              <w:t>Розмір шин (передніх та задніх)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NouvelR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zh-CN" w:bidi="ar-SA"/>
              </w:rPr>
              <w:t xml:space="preserve">215/65 </w:t>
            </w:r>
            <w:r>
              <w:rPr>
                <w:rFonts w:eastAsia="Times New Roman" w:cs="NouvelR" w:ascii="Times New Roman" w:hAnsi="Times New Roman"/>
                <w:b w:val="false"/>
                <w:bCs w:val="false"/>
                <w:color w:val="auto"/>
                <w:sz w:val="24"/>
                <w:szCs w:val="24"/>
                <w:lang w:val="en-US" w:eastAsia="zh-CN" w:bidi="ar-SA"/>
              </w:rPr>
              <w:t>R1</w:t>
            </w:r>
            <w:r>
              <w:rPr>
                <w:rFonts w:eastAsia="Times New Roman" w:cs="NouvelR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zh-CN" w:bidi="ar-SA"/>
              </w:rPr>
              <w:t>6</w:t>
            </w:r>
          </w:p>
        </w:tc>
      </w:tr>
      <w:tr>
        <w:trPr/>
        <w:tc>
          <w:tcPr>
            <w:tcW w:w="82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Споряджена маса (мін-макс) (кг)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NouvelR"/>
                <w:b w:val="false"/>
                <w:bCs w:val="false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NouvelR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zh-CN" w:bidi="ar-SA"/>
              </w:rPr>
              <w:t>1205 — 1274</w:t>
            </w:r>
          </w:p>
        </w:tc>
      </w:tr>
      <w:tr>
        <w:trPr/>
        <w:tc>
          <w:tcPr>
            <w:tcW w:w="82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Максимально маса (кг)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1759</w:t>
            </w:r>
          </w:p>
        </w:tc>
      </w:tr>
      <w:tr>
        <w:trPr/>
        <w:tc>
          <w:tcPr>
            <w:tcW w:w="82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NouvelR"/>
                <w:b w:val="false"/>
                <w:bCs w:val="false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NouvelR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zh-CN" w:bidi="ar-SA"/>
              </w:rPr>
              <w:t>Об’єм багажного відділення (л)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NouvelR"/>
                <w:b w:val="false"/>
                <w:bCs w:val="false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NouvelR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zh-CN" w:bidi="ar-SA"/>
              </w:rPr>
              <w:t>478 / 1623</w:t>
            </w:r>
          </w:p>
        </w:tc>
      </w:tr>
      <w:tr>
        <w:trPr/>
        <w:tc>
          <w:tcPr>
            <w:tcW w:w="82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Дорожній просвіт (мм)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210</w:t>
            </w:r>
          </w:p>
        </w:tc>
      </w:tr>
    </w:tbl>
    <w:p>
      <w:pPr>
        <w:pStyle w:val="Normal"/>
        <w:widowControl w:val="false"/>
        <w:shd w:fill="FFFFFF" w:val="clear"/>
        <w:tabs>
          <w:tab w:val="clear" w:pos="709"/>
          <w:tab w:val="left" w:pos="444" w:leader="none"/>
        </w:tabs>
        <w:suppressAutoHyphens w:val="true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  <w:lang w:val="uk-UA" w:eastAsia="ru-RU" w:bidi="ar-SA"/>
        </w:rPr>
      </w:r>
    </w:p>
    <w:p>
      <w:pPr>
        <w:pStyle w:val="Normal"/>
        <w:widowControl w:val="false"/>
        <w:shd w:fill="FFFFFF" w:val="clear"/>
        <w:tabs>
          <w:tab w:val="clear" w:pos="709"/>
          <w:tab w:val="left" w:pos="444" w:leader="none"/>
        </w:tabs>
        <w:suppressAutoHyphens w:val="true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  <w:lang w:val="uk-UA" w:eastAsia="ru-RU" w:bidi="ar-SA"/>
        </w:rPr>
      </w:r>
    </w:p>
    <w:p>
      <w:pPr>
        <w:pStyle w:val="Normal"/>
        <w:widowControl w:val="false"/>
        <w:shd w:fill="FFFFFF" w:val="clear"/>
        <w:tabs>
          <w:tab w:val="clear" w:pos="709"/>
          <w:tab w:val="left" w:pos="444" w:leader="none"/>
        </w:tabs>
        <w:suppressAutoHyphens w:val="true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  <w:lang w:val="uk-UA" w:eastAsia="ru-RU" w:bidi="ar-SA"/>
        </w:rPr>
      </w:r>
    </w:p>
    <w:p>
      <w:pPr>
        <w:pStyle w:val="Normal"/>
        <w:widowControl w:val="false"/>
        <w:shd w:fill="FFFFFF" w:val="clear"/>
        <w:tabs>
          <w:tab w:val="clear" w:pos="709"/>
          <w:tab w:val="left" w:pos="444" w:leader="none"/>
        </w:tabs>
        <w:suppressAutoHyphens w:val="true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  <w:lang w:val="uk-UA" w:eastAsia="ru-RU" w:bidi="ar-SA"/>
        </w:rPr>
      </w:r>
    </w:p>
    <w:tbl>
      <w:tblPr>
        <w:tblW w:w="5000" w:type="pct"/>
        <w:jc w:val="left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5172"/>
        <w:gridCol w:w="5174"/>
      </w:tblGrid>
      <w:tr>
        <w:trPr>
          <w:trHeight w:val="92" w:hRule="atLeast"/>
        </w:trPr>
        <w:tc>
          <w:tcPr>
            <w:tcW w:w="10346" w:type="dxa"/>
            <w:gridSpan w:val="2"/>
            <w:tcBorders/>
            <w:vAlign w:val="center"/>
          </w:tcPr>
          <w:p>
            <w:pPr>
              <w:pStyle w:val="Normal"/>
              <w:rPr>
                <w:rFonts w:ascii="Times New Roman" w:hAnsi="Times New Roman" w:cs="NouvelR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NouvelR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БАЗОВЕ ОБЛАДНАННЯ</w:t>
            </w:r>
          </w:p>
        </w:tc>
      </w:tr>
      <w:tr>
        <w:trPr>
          <w:trHeight w:val="3200" w:hRule="atLeast"/>
        </w:trPr>
        <w:tc>
          <w:tcPr>
            <w:tcW w:w="5172" w:type="dxa"/>
            <w:tcBorders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spacing w:lineRule="auto" w:line="240"/>
              <w:rPr/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П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ередні подушки безпеки водія та переднього пасажира (з кнопкою вимкнення)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Б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окові подушки безпеки водія та переднього пасажира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ESC (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система курсової стійкості ) + HSA (система допомоги при старті на підйомі)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ABS (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антиблокувальна система гальм)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EBA (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с-ма допомоги при екстреному гальмуванні) + EBD (електронна с-ма розподілу гальмівних зусиль)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TPMS (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система моніторингу тиску в шинах)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 xml:space="preserve">LED </w:t>
            </w: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 xml:space="preserve">денні ходові вогні та ближнє </w:t>
            </w: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 xml:space="preserve">LED </w:t>
            </w: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світло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П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овторювачі сигналів поворотів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П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ередні протитуманні ліхтарі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Д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атчик світла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Л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іхтар заднього ходу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Д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одатковий стоп-сигнал у верхній частині дверей багажного відділення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Т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ри задніх з'ємних підголівника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П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ередні ремені безпеки, що не регулються за висотою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Т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рьохточечні ремені безпеки для заднього ряду сидінь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Н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агадування про непристебнуті ремені безпеки переднього пасажира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К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ріплення для дитячих сидінь ISOFIX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spacing w:lineRule="auto" w:line="240"/>
              <w:rPr>
                <w:rFonts w:ascii="Times New Roman" w:hAnsi="Times New Roman" w:cs="NouvelR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Пластиковий захист картера двигуна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З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ахист від пилу 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та бруду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А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нтигравійний захист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П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овнорозмірне запасне колесо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Д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орожній набір засобів безпеки (сумка-органайзер, аптечка, вогнегасник, знак аварійної зупинки, трос буксирувальний, світловідбиваючий жилет, робочі рукавиці)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rPr>
                <w:rFonts w:ascii="Times New Roman" w:hAnsi="Times New Roman" w:cs="NouvelR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Індикатор перемикання передач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rPr>
                <w:rFonts w:ascii="Times New Roman" w:hAnsi="Times New Roman" w:cs="NouvelR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Бортовий комп'ютер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rPr>
                <w:rFonts w:ascii="Times New Roman" w:hAnsi="Times New Roman" w:cs="NouvelR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Круїз-контроль + обмежувач швидкості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rPr>
                <w:rFonts w:ascii="Times New Roman" w:hAnsi="Times New Roman" w:cs="NouvelR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Режим ECO водіння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rPr>
                <w:rFonts w:ascii="Times New Roman" w:hAnsi="Times New Roman" w:cs="NouvelR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Центральний замок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rPr>
                <w:rFonts w:ascii="Times New Roman" w:hAnsi="Times New Roman" w:cs="NouvelR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Ключ з дистанційним керуванням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rPr>
                <w:rFonts w:ascii="Times New Roman" w:hAnsi="Times New Roman" w:cs="NouvelR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Кондиціонер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rPr>
                <w:rFonts w:ascii="Times New Roman" w:hAnsi="Times New Roman" w:cs="NouvelR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Повітроводи для заднього ряду сидінь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rPr>
                <w:rFonts w:ascii="Times New Roman" w:hAnsi="Times New Roman" w:cs="NouvelR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Задній парктронік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142" w:leader="none"/>
              </w:tabs>
              <w:rPr>
                <w:rFonts w:ascii="NouvelR" w:hAnsi="NouvelR" w:cs="NouvelR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Задні елект</w:t>
            </w:r>
            <w:r>
              <w:rPr>
                <w:rFonts w:cs="NouvelR" w:ascii="NouvelR" w:hAnsi="NouvelR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uk-UA"/>
              </w:rPr>
              <w:t>росклопідйомники</w:t>
            </w:r>
          </w:p>
        </w:tc>
        <w:tc>
          <w:tcPr>
            <w:tcW w:w="5174" w:type="dxa"/>
            <w:tcBorders/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П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ередні електросклопідйомники + імпульсний з боку водія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З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овнішні дзеркала заднього огляду з електрoрегулюванням, обігрівом та датчиком зовнішньої температури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К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ермова колонка, що регулюється за висотою та глибиною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О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здоблення керма "Soft Feel"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С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идіння водія, що регулюється за висотою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rPr>
                <w:rFonts w:ascii="Times New Roman" w:hAnsi="Times New Roman" w:cs="NouvelR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Спинки заднього ряду сидінь, що складаються в пропорціі 1/3 та 2/3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О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бігрів заднього скла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М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ультимедійна система: 8" сенсорний екран, USB, Bluetooth, підтримка додатків Apple Car Play та Android Auto, радіо, медіа, телефон з гучним зв'язком, </w:t>
            </w: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 xml:space="preserve">4 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динаміки, денний та нічний режими, управління на кермовій колонці, налаштування автомобіля, система ECO моніторинга, оцінювання та рекомендацій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О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здоблення салону Zen </w:t>
            </w: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“або еквівалент”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(чорна панель, хромовані елементи)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Т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канинна оббивка сидінь Comfort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Ч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орні поздовжні леєри з надписом DUSTER </w:t>
            </w: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“або еквівалент”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С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вітло-сріблясті корпуса зовнішніх дзеркал заднього огляду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С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тандартне тонування вікон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Ч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орна нижня захисна накладка на передній та задній бампер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 xml:space="preserve">16" 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сталеві диски FIDJI </w:t>
            </w: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“або еквівалент”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Л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акова фарба "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Сірий асфальт</w:t>
            </w:r>
            <w:r>
              <w:rPr>
                <w:rFonts w:cs="NouvelR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"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rPr>
                <w:rFonts w:ascii="Times New Roman" w:hAnsi="Times New Roman" w:cs="NouvelR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Гарантія 3 роки або 100 000 км</w:t>
            </w:r>
          </w:p>
          <w:p>
            <w:pPr>
              <w:pStyle w:val="Normal"/>
              <w:tabs>
                <w:tab w:val="clear" w:pos="709"/>
                <w:tab w:val="left" w:pos="211" w:leader="none"/>
              </w:tabs>
              <w:ind w:left="429" w:right="0" w:hanging="0"/>
              <w:rPr>
                <w:rFonts w:ascii="Times New Roman" w:hAnsi="Times New Roman" w:cs="NouvelR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ДОДАТКОВІ ОПЦІЇ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jc w:val="both"/>
              <w:rPr>
                <w:rFonts w:ascii="Times New Roman" w:hAnsi="Times New Roman" w:cs="NouvelR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Карта-ключ "вільні руки"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jc w:val="both"/>
              <w:rPr>
                <w:rFonts w:ascii="Times New Roman" w:hAnsi="Times New Roman" w:cs="NouvelR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Клімат-контроль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jc w:val="both"/>
              <w:rPr>
                <w:rFonts w:ascii="Times New Roman" w:hAnsi="Times New Roman" w:cs="NouvelR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Камера заднього огляду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jc w:val="both"/>
              <w:rPr>
                <w:rFonts w:ascii="Times New Roman" w:hAnsi="Times New Roman" w:cs="NouvelR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Сидіння водія з регулюванням за висотою, підлокітником та поперековою підтримкою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jc w:val="both"/>
              <w:rPr>
                <w:rFonts w:ascii="Times New Roman" w:hAnsi="Times New Roman" w:cs="NouvelR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Підігрів передніх сидінь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jc w:val="both"/>
              <w:rPr>
                <w:rFonts w:ascii="Times New Roman" w:hAnsi="Times New Roman" w:cs="NouvelR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 xml:space="preserve">16" легкосплавні диски ORAGA </w:t>
            </w: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“або еквівалент”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jc w:val="both"/>
              <w:rPr>
                <w:rFonts w:ascii="Times New Roman" w:hAnsi="Times New Roman" w:cs="NouvelR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Решітка захисту радіатора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jc w:val="both"/>
              <w:rPr>
                <w:rFonts w:ascii="Times New Roman" w:hAnsi="Times New Roman" w:cs="NouvelR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Гумові килимки салону та багажного відділення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jc w:val="both"/>
              <w:rPr>
                <w:rFonts w:ascii="Times New Roman" w:hAnsi="Times New Roman" w:cs="NouvelR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Передні та задні бризговики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1" w:leader="none"/>
              </w:tabs>
              <w:ind w:left="69" w:right="0" w:hanging="0"/>
              <w:jc w:val="both"/>
              <w:rPr>
                <w:rFonts w:ascii="Times New Roman" w:hAnsi="Times New Roman" w:cs="NouvelR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</w:pPr>
            <w:r>
              <w:rPr>
                <w:rFonts w:cs="NouvelR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Фаркоп</w:t>
            </w:r>
          </w:p>
        </w:tc>
      </w:tr>
    </w:tbl>
    <w:p>
      <w:pPr>
        <w:pStyle w:val="Normal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lang w:val="uk-UA" w:eastAsia="uk-UA"/>
        </w:rPr>
        <w:t>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lang w:val="uk-UA" w:eastAsia="ru-RU"/>
        </w:rPr>
        <w:t>.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auto"/>
          <w:sz w:val="24"/>
          <w:szCs w:val="24"/>
          <w:lang w:val="uk-UA" w:eastAsia="ru-RU"/>
        </w:rPr>
        <w:t xml:space="preserve"> Усі посилання у цьому Додатку 1 до тендерної документації на конкретну торговельну марку чи фірму, патент, конструкцію або тип предмета закупівлі, джерело його походження або виробника, вважати такими, що містять вираз "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lang w:val="uk-UA" w:eastAsia="ru-RU"/>
        </w:rPr>
        <w:t>або  еквівалент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auto"/>
          <w:sz w:val="24"/>
          <w:szCs w:val="24"/>
          <w:lang w:val="uk-UA" w:eastAsia="ru-RU"/>
        </w:rPr>
        <w:t>".</w:t>
      </w:r>
    </w:p>
    <w:p>
      <w:pPr>
        <w:pStyle w:val="Normal"/>
        <w:suppressAutoHyphens w:val="true"/>
        <w:spacing w:lineRule="auto" w:line="360" w:before="57" w:after="57"/>
        <w:ind w:left="17" w:right="0" w:hanging="0"/>
        <w:jc w:val="both"/>
        <w:rPr/>
      </w:pPr>
      <w:r>
        <w:rPr>
          <w:rFonts w:eastAsia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lang w:val="uk-UA" w:eastAsia="uk-UA"/>
        </w:rPr>
        <w:t xml:space="preserve">3. </w:t>
      </w:r>
      <w:r>
        <w:rPr>
          <w:rFonts w:eastAsia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lang w:val="uk-UA" w:eastAsia="ar-SA" w:bidi="ar-SA"/>
        </w:rPr>
        <w:t>Загальна кількість товару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uk-UA" w:eastAsia="ar-SA" w:bidi="ar-SA"/>
        </w:rPr>
        <w:t xml:space="preserve">: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uk-UA" w:eastAsia="ar-SA" w:bidi="ar-SA"/>
        </w:rPr>
        <w:t>1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uk-UA" w:eastAsia="ar-SA" w:bidi="ar-SA"/>
        </w:rPr>
        <w:t xml:space="preserve"> од.</w:t>
      </w:r>
    </w:p>
    <w:p>
      <w:pPr>
        <w:pStyle w:val="Normal"/>
        <w:spacing w:lineRule="auto" w:line="360" w:before="57" w:after="57"/>
        <w:rPr/>
      </w:pPr>
      <w:r>
        <w:rPr>
          <w:rFonts w:eastAsia="Times New Roman" w:ascii="Times New Roman" w:hAnsi="Times New Roman"/>
          <w:b/>
          <w:color w:val="auto"/>
          <w:sz w:val="24"/>
          <w:szCs w:val="24"/>
          <w:lang w:val="uk-UA" w:eastAsia="uk-UA"/>
        </w:rPr>
        <w:t xml:space="preserve">4. Місце поставки товару: 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uk-UA" w:eastAsia="uk-UA" w:bidi="ar-SA"/>
        </w:rPr>
        <w:t xml:space="preserve">Україна, Житомирська область, м. Житомир 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uk-UA" w:eastAsia="uk-UA" w:bidi="ar-SA"/>
        </w:rPr>
        <w:t>(згідно заявки Замовника)</w:t>
      </w:r>
    </w:p>
    <w:p>
      <w:pPr>
        <w:pStyle w:val="Normal"/>
        <w:spacing w:lineRule="auto" w:line="360" w:before="0" w:after="0"/>
        <w:ind w:left="0" w:right="397" w:hanging="0"/>
        <w:jc w:val="both"/>
        <w:rPr/>
      </w:pP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olor w:val="auto"/>
          <w:kern w:val="2"/>
          <w:sz w:val="24"/>
          <w:szCs w:val="24"/>
          <w:u w:val="none"/>
          <w:lang w:val="uk-UA" w:eastAsia="uk-UA" w:bidi="ar-SA"/>
        </w:rPr>
        <w:t>5. Строк поставки товару: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uk-UA" w:eastAsia="uk-UA" w:bidi="ar-SA"/>
        </w:rPr>
        <w:t xml:space="preserve">  до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uk-UA" w:eastAsia="uk-UA" w:bidi="ar-SA"/>
        </w:rPr>
        <w:t>15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uk-UA" w:eastAsia="uk-UA" w:bidi="ar-SA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uk-UA" w:eastAsia="uk-UA" w:bidi="ar-SA"/>
        </w:rPr>
        <w:t>04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uk-UA" w:eastAsia="uk-UA" w:bidi="ar-SA"/>
        </w:rPr>
        <w:t>.202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uk-UA" w:eastAsia="uk-UA" w:bidi="ar-SA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uk-UA" w:eastAsia="uk-UA" w:bidi="ar-SA"/>
        </w:rPr>
        <w:t xml:space="preserve"> р.</w:t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uk-UA" w:eastAsia="ru-RU"/>
        </w:rPr>
        <w:t>6. Послуги, які обов’язково надає учасник та включає в ціну товару: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uk-UA" w:eastAsia="ar-SA"/>
        </w:rPr>
        <w:t>Проведення навантажувально-розвантажувальних робіт, поставка (транспортування) товару</w:t>
      </w:r>
      <w:r>
        <w:rPr>
          <w:rFonts w:eastAsia="Times New Roman" w:ascii="Times New Roman" w:hAnsi="Times New Roman"/>
          <w:b/>
          <w:bCs w:val="false"/>
          <w:i w:val="false"/>
          <w:iCs w:val="false"/>
          <w:color w:val="auto"/>
          <w:sz w:val="24"/>
          <w:szCs w:val="24"/>
          <w:lang w:val="uk-UA" w:eastAsia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uk-UA" w:eastAsia="ru-RU"/>
        </w:rPr>
        <w:t xml:space="preserve"> до Замовника,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uk-UA" w:eastAsia="ar-SA"/>
        </w:rPr>
        <w:t>здійснюється силами та за рахунок Продавця -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uk-UA" w:eastAsia="uk-U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uk-UA" w:eastAsia="ar-SA"/>
        </w:rPr>
        <w:t>переможця процедури закупівлі та ціна пропозиції учасника процедури закупівлі має включати вартість товару та вартість всіх необхідних супровідних послуг чи робіт, у т. ч. всі податки, збори і обов'язкові платежі.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uk-UA" w:eastAsia="ru-RU"/>
        </w:rPr>
        <w:t xml:space="preserve">7. </w:t>
      </w: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uk-UA" w:eastAsia="ar-SA"/>
        </w:rPr>
        <w:t xml:space="preserve">Приймання товару: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uk-UA" w:eastAsia="ar-SA"/>
        </w:rPr>
        <w:t>здійснюватиметься Покупцем (замовником) по кількості та якості в момент одержання його від Продавця (переможця процедури закупівлі). Якість товару, що постачається повинна відповідати державним нормам та стандартам, що діють в Україні на момент постачання такого. Продавець повинен одночасно з товаром передати Замовникові (Покупцеві) його приналежності та відповідні товаросупроводжувані документи.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b/>
          <w:sz w:val="24"/>
          <w:szCs w:val="24"/>
          <w:lang w:val="uk-UA" w:eastAsia="ar-SA"/>
        </w:rPr>
        <w:t>8.</w:t>
      </w:r>
      <w:r>
        <w:rPr>
          <w:rFonts w:eastAsia="Times New Roman"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lang w:val="uk-UA" w:eastAsia="uk-UA"/>
        </w:rPr>
        <w:t>Перелік документів, які обов’язково повинен подати учасник процедури закупівлі,</w:t>
      </w:r>
      <w:r>
        <w:rPr>
          <w:rFonts w:ascii="Times New Roman" w:hAnsi="Times New Roman"/>
          <w:lang w:val="uk-UA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lang w:val="uk-UA" w:eastAsia="uk-UA"/>
        </w:rPr>
        <w:t>як частину своєї тендерної пропозиції</w:t>
      </w:r>
      <w:r>
        <w:rPr>
          <w:rFonts w:eastAsia="Times New Roman"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lang w:val="uk-UA" w:eastAsia="uk-UA"/>
        </w:rPr>
        <w:t>для підтвердження прийнятності та відповідності запропонованого товару</w:t>
      </w:r>
      <w:r>
        <w:rPr>
          <w:rFonts w:eastAsia="Times New Roman" w:ascii="Times New Roman" w:hAnsi="Times New Roman"/>
          <w:b/>
          <w:bCs/>
          <w:sz w:val="24"/>
          <w:szCs w:val="24"/>
          <w:lang w:val="uk-UA" w:eastAsia="uk-UA"/>
        </w:rPr>
        <w:t>: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b/>
          <w:bCs/>
          <w:i w:val="false"/>
          <w:iCs w:val="false"/>
          <w:sz w:val="24"/>
          <w:szCs w:val="24"/>
          <w:u w:val="none"/>
          <w:lang w:val="uk-UA" w:eastAsia="uk-UA"/>
        </w:rPr>
        <w:t>8.1. І</w:t>
      </w:r>
      <w:r>
        <w:rPr>
          <w:rFonts w:eastAsia="Times New Roman" w:ascii="Times New Roman" w:hAnsi="Times New Roman"/>
          <w:b/>
          <w:bCs/>
          <w:i w:val="false"/>
          <w:iCs w:val="false"/>
          <w:sz w:val="24"/>
          <w:szCs w:val="24"/>
          <w:u w:val="none"/>
          <w:lang w:val="uk-UA" w:eastAsia="ru-RU"/>
        </w:rPr>
        <w:t>нформаційну довідку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 w:eastAsia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 w:eastAsia="uk-UA"/>
        </w:rPr>
        <w:t>(в довільній формі) від учасника процедури закупівлі,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 w:eastAsia="ru-RU"/>
        </w:rPr>
        <w:t xml:space="preserve"> яка містить інформацію, що підтверджує відповідність його тендерної пропозиції технічним, якісним, кількісним та іншим характеристикам до предмету закупівлі, встановленим цим Додатком.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ru-RU"/>
        </w:rPr>
        <w:t>Окрім цього, у даній довідці, також потрібно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ru-RU"/>
        </w:rPr>
        <w:t xml:space="preserve">обов'язково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single"/>
          <w:lang w:val="uk-UA" w:eastAsia="ru-RU"/>
        </w:rPr>
        <w:t>зазначити повне найменування запропонованого товару (марку, модель, версію і т. п.), а також країну виробництва товару та найменування його виробника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ru-RU"/>
        </w:rPr>
        <w:t>.</w:t>
      </w:r>
    </w:p>
    <w:p>
      <w:pPr>
        <w:pStyle w:val="Normal"/>
        <w:widowControl w:val="false"/>
        <w:shd w:fill="FFFFFF" w:val="clear"/>
        <w:suppressAutoHyphens w:val="true"/>
        <w:bidi w:val="0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lang w:val="uk-UA" w:eastAsia="uk-UA" w:bidi="ar-SA"/>
        </w:rPr>
        <w:t xml:space="preserve">8.2.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uk-UA" w:eastAsia="uk-UA" w:bidi="ar-SA"/>
        </w:rPr>
        <w:t>Гарантійний лист (в довільній формі) від учасника процедури закупівлі, про те, що:</w:t>
      </w:r>
    </w:p>
    <w:p>
      <w:pPr>
        <w:pStyle w:val="Normal"/>
        <w:widowControl w:val="false"/>
        <w:shd w:fill="FFFFFF" w:val="clear"/>
        <w:suppressAutoHyphens w:val="true"/>
        <w:bidi w:val="0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uk-UA" w:eastAsia="uk-UA" w:bidi="ar-SA"/>
        </w:rPr>
        <w:t>- товар який запропоновано до поставки буде новим (не раніше 202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uk-UA" w:eastAsia="uk-UA" w:bidi="ar-SA"/>
        </w:rPr>
        <w:t xml:space="preserve">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uk-UA" w:eastAsia="uk-UA" w:bidi="ar-SA"/>
        </w:rPr>
        <w:t>року випуску), без механічних пошкоджень, таким, що не був у використанні;</w:t>
      </w:r>
    </w:p>
    <w:p>
      <w:pPr>
        <w:pStyle w:val="Normal"/>
        <w:widowControl w:val="false"/>
        <w:shd w:fill="FFFFFF" w:val="clear"/>
        <w:suppressAutoHyphens w:val="true"/>
        <w:bidi w:val="0"/>
        <w:spacing w:lineRule="auto" w:line="360" w:before="0" w:after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olor w:val="00000A"/>
          <w:sz w:val="24"/>
          <w:szCs w:val="24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uk-UA" w:eastAsia="uk-UA" w:bidi="ar-SA"/>
        </w:rPr>
        <w:t>- на товар буде  надано гарантію, строк якої складатиме на менше ніж 3 років або 100 000 км пробігу (залежно від того, що настане раніше) з моменту доставки та прийняття такого автомобіля Замовником;</w:t>
      </w:r>
    </w:p>
    <w:p>
      <w:pPr>
        <w:pStyle w:val="Normal"/>
        <w:widowControl w:val="false"/>
        <w:shd w:fill="FFFFFF" w:val="clear"/>
        <w:suppressAutoHyphens w:val="true"/>
        <w:bidi w:val="0"/>
        <w:spacing w:lineRule="auto" w:line="360" w:before="0" w:after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olor w:val="00000A"/>
          <w:sz w:val="24"/>
          <w:szCs w:val="24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uk-UA" w:eastAsia="uk-UA" w:bidi="ar-SA"/>
        </w:rPr>
        <w:t>- учасник процедури закупівлі гарантує наявність регіональних станцій гарантійного та технічного обслуговування по Україні.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 xml:space="preserve">8.3.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auto"/>
          <w:sz w:val="24"/>
          <w:szCs w:val="24"/>
          <w:u w:val="none"/>
          <w:lang w:val="uk-UA" w:eastAsia="ru-RU" w:bidi="ar-SA"/>
        </w:rPr>
        <w:t>Якщо запропонований учасником процедури закупівлі товар є аналогічним за параметрами (технічними, якісними, кількісні та іншими характеристиками предмета закупівлі) та / або відрізняється від тих, що вимагаються замовником у цьому додатку до тендерної документації, то в такому разі учасник у складі його тендерної пропозиції повинен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u w:val="none"/>
          <w:lang w:val="uk-UA" w:eastAsia="ru-RU" w:bidi="ar-SA"/>
        </w:rPr>
        <w:t xml:space="preserve"> обов’язково надати порівняльну таблицю цих параметрів з відомостями щодо їх відповідності (або не відповідності) необхідним технічним, якісним та кількісним характеристикам предмета закупівлі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auto"/>
          <w:sz w:val="24"/>
          <w:szCs w:val="24"/>
          <w:u w:val="none"/>
          <w:lang w:val="uk-UA" w:eastAsia="ru-RU" w:bidi="ar-SA"/>
        </w:rPr>
        <w:t>, у тому числі відповідній технічній специфікації Додатку №1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ru-RU" w:bidi="ar-SA"/>
        </w:rPr>
        <w:t xml:space="preserve"> до тендерної документації. У наданій таблиці, учасник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>процедури закупівлі, обов'язково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u w:val="none"/>
          <w:lang w:val="uk-UA" w:eastAsia="ru-RU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зазначає  повне найменування запропонованого товару (марку, модель,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  <w:t>версі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>ю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і т.п.), що має містити характеристики, які відповідають вимогам зазначеним у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auto"/>
          <w:sz w:val="24"/>
          <w:szCs w:val="24"/>
          <w:u w:val="none"/>
          <w:lang w:val="uk-UA" w:eastAsia="ru-RU" w:bidi="ar-SA"/>
        </w:rPr>
        <w:t>технічній специфікації Додатку №1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ru-RU" w:bidi="ar-SA"/>
        </w:rPr>
        <w:t xml:space="preserve"> до тендерної документації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>Примітки: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 xml:space="preserve"> у разі відсутності у наданій учасником процедури закупівлі порівняльній таблиці усієї необхідної вищезазначеної інформації, що вимагається, то даний документ може бути розцінено, як такий, що не відповідає умовам тендерної документації та у такому разі тендерна пропозиція учасника процедури закупівлі буде відхилена.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 xml:space="preserve">8.4.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>Гарантійний лист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 xml:space="preserve"> (в довільній формі) від учасника процедури закупівлі, про 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uk-UA" w:bidi="ar-SA"/>
        </w:rPr>
        <w:t>, що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ar-SA" w:bidi="ar-SA"/>
        </w:rPr>
        <w:t>риймання товару здійснюватиметься Замовником по кількості та якості в момент одержання його від Продавця (переможця процедури закупівлі). Якість товару, що постачається буде відповідати державним нормам та стандартам, що діють в Україні на момент постачання такого. Товар, що поставляється учасником, матиме на момент поставки відповідні товаросупроваджуючі документи, що передбачені законодавством для даного виду товару (сертифікат походження продукції та/або сертифікат якості, або інші передбачені документи, тощо).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>8.5.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>Гарантійний лист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 xml:space="preserve"> (в довільній формі) від учасника процедури закупівлі, у якому має бути зазначено, що проведення навантажувально-розвантажувальних робіт, поставка (транспортування) товару до Замовника, здійснюється силами та за рахунок Продав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2"/>
          <w:sz w:val="24"/>
          <w:szCs w:val="24"/>
          <w:u w:val="none"/>
          <w:lang w:val="uk-UA" w:eastAsia="uk-UA" w:bidi="ar-SA"/>
        </w:rPr>
        <w:t>ця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ar-SA" w:bidi="ar-SA"/>
        </w:rPr>
        <w:t>(перемож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uk-UA" w:eastAsia="ar-SA" w:bidi="ar-SA"/>
        </w:rPr>
        <w:t>ця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ar-SA" w:bidi="ar-SA"/>
        </w:rPr>
        <w:t xml:space="preserve"> процедури закупівлі)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 xml:space="preserve"> та ціна пропозиції учасника процедури закупівлі включає вартість товару та вартість всіх необхідних супровідних послуг чи робіт, у т. ч. всі податки, збори і обов'язкові платежі.</w:t>
      </w:r>
    </w:p>
    <w:p>
      <w:pPr>
        <w:pStyle w:val="Normal"/>
        <w:widowControl w:val="false"/>
        <w:shd w:fill="FFFFFF" w:val="clear"/>
        <w:tabs>
          <w:tab w:val="clear" w:pos="709"/>
          <w:tab w:val="left" w:pos="444" w:leader="none"/>
        </w:tabs>
        <w:suppressAutoHyphens w:val="true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8.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6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uk-UA" w:bidi="ar-SA"/>
        </w:rPr>
        <w:t>Гарантійний лист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uk-UA" w:bidi="ar-SA"/>
        </w:rPr>
        <w:t xml:space="preserve"> (в довільній формі) від учасника процедури закупівлі, у якому має бути зазначено, що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uk-UA" w:bidi="ar-SA"/>
        </w:rPr>
        <w:t xml:space="preserve"> учасник процедури закупівлі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 xml:space="preserve"> не є громадянином Російської Федерації/Республіки Білорусь (крім того, що проживає на території України на законних підставах); не є юридичною особою, створеною та зареєстрованою відповідно до законодавства Російської Федерації/Республіки Білорусь; не є юридичною особою, створеною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та не є юридичною особою, створеною та зареєстрованою відповідно до законодавства Російської Федерації/Республіки Білорусь; та не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>).</w:t>
      </w:r>
    </w:p>
    <w:p>
      <w:pPr>
        <w:pStyle w:val="Normal"/>
        <w:widowControl w:val="false"/>
        <w:shd w:fill="FFFFFF" w:val="clear"/>
        <w:tabs>
          <w:tab w:val="clear" w:pos="709"/>
          <w:tab w:val="left" w:pos="444" w:leader="none"/>
        </w:tabs>
        <w:suppressAutoHyphens w:val="true"/>
        <w:spacing w:lineRule="auto" w:line="360" w:before="0" w:after="0"/>
        <w:ind w:left="0" w:right="0" w:hanging="0"/>
        <w:jc w:val="both"/>
        <w:rPr>
          <w:rFonts w:cs="Times New Roman CYR"/>
          <w:color w:val="000000"/>
          <w:shd w:fill="auto" w:val="clear"/>
          <w:lang w:eastAsia="ar-SA"/>
        </w:rPr>
      </w:pPr>
      <w:r>
        <w:rPr>
          <w:lang w:val="uk-UA"/>
        </w:rPr>
      </w:r>
    </w:p>
    <w:sectPr>
      <w:footerReference w:type="default" r:id="rId2"/>
      <w:type w:val="nextPage"/>
      <w:pgSz w:w="11906" w:h="16838"/>
      <w:pgMar w:left="993" w:right="567" w:gutter="0" w:header="0" w:top="851" w:footer="1134" w:bottom="1693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FreeSet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cc"/>
    <w:family w:val="roman"/>
    <w:pitch w:val="variable"/>
  </w:font>
  <w:font w:name="NouvelR">
    <w:charset w:val="cc"/>
    <w:family w:val="moder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cs="Times New Roman"/>
      <w:b/>
      <w:bCs/>
      <w:kern w:val="2"/>
      <w:sz w:val="48"/>
      <w:szCs w:val="48"/>
      <w:lang w:val="ru-RU"/>
    </w:rPr>
  </w:style>
  <w:style w:type="paragraph" w:styleId="2">
    <w:name w:val="Heading 2"/>
    <w:basedOn w:val="Normal"/>
    <w:qFormat/>
    <w:pPr>
      <w:numPr>
        <w:ilvl w:val="0"/>
        <w:numId w:val="0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Style11"/>
    <w:qFormat/>
    <w:pPr/>
    <w:rPr/>
  </w:style>
  <w:style w:type="character" w:styleId="Style6">
    <w:name w:val="Маркери"/>
    <w:qFormat/>
    <w:rPr>
      <w:rFonts w:ascii="OpenSymbol" w:hAnsi="OpenSymbol" w:eastAsia="OpenSymbol" w:cs="OpenSymbol"/>
    </w:rPr>
  </w:style>
  <w:style w:type="character" w:styleId="Style7">
    <w:name w:val="Hyperlink"/>
    <w:rPr>
      <w:rFonts w:cs="Times New Roman"/>
      <w:color w:val="0000FF"/>
      <w:u w:val="single"/>
    </w:rPr>
  </w:style>
  <w:style w:type="character" w:styleId="DefaultParagraphFont">
    <w:name w:val="Default Paragraph Font"/>
    <w:qFormat/>
    <w:rPr/>
  </w:style>
  <w:style w:type="character" w:styleId="2350">
    <w:name w:val="2350"/>
    <w:basedOn w:val="DefaultParagraphFont"/>
    <w:qFormat/>
    <w:rPr/>
  </w:style>
  <w:style w:type="character" w:styleId="Style8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9">
    <w:name w:val="Символ нумерації"/>
    <w:qFormat/>
    <w:rPr/>
  </w:style>
  <w:style w:type="character" w:styleId="Hps">
    <w:name w:val="hps"/>
    <w:qFormat/>
    <w:rPr/>
  </w:style>
  <w:style w:type="character" w:styleId="Style10">
    <w:name w:val="Основной шрифт абзаца"/>
    <w:qFormat/>
    <w:rPr/>
  </w:style>
  <w:style w:type="character" w:styleId="D-none">
    <w:name w:val="d-none"/>
    <w:basedOn w:val="Style10"/>
    <w:qFormat/>
    <w:rPr/>
  </w:style>
  <w:style w:type="character" w:styleId="Rvts0">
    <w:name w:val="rvts0"/>
    <w:qFormat/>
    <w:rPr>
      <w:rFonts w:cs="Times New Roman"/>
    </w:rPr>
  </w:style>
  <w:style w:type="character" w:styleId="Liki-item-option-title">
    <w:name w:val="liki-item-option-title"/>
    <w:basedOn w:val="DefaultParagraphFont"/>
    <w:qFormat/>
    <w:rPr/>
  </w:style>
  <w:style w:type="character" w:styleId="WW8Num3z0">
    <w:name w:val="WW8Num3z0"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Mangal"/>
    </w:rPr>
  </w:style>
  <w:style w:type="paragraph" w:styleId="Style16">
    <w:name w:val="Вміст таблиці"/>
    <w:basedOn w:val="Normal"/>
    <w:qFormat/>
    <w:pPr>
      <w:suppressLineNumbers/>
    </w:pPr>
    <w:rPr/>
  </w:style>
  <w:style w:type="paragraph" w:styleId="Style17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8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en-US" w:bidi="ar-SA"/>
    </w:rPr>
  </w:style>
  <w:style w:type="paragraph" w:styleId="NormalWeb">
    <w:name w:val="Normal (Web)"/>
    <w:basedOn w:val="Normal"/>
    <w:qFormat/>
    <w:pPr>
      <w:widowControl/>
      <w:bidi w:val="0"/>
      <w:spacing w:lineRule="auto" w:line="276" w:before="100" w:after="100"/>
      <w:jc w:val="left"/>
      <w:textAlignment w:val="auto"/>
    </w:pPr>
    <w:rPr>
      <w:rFonts w:ascii="Calibri" w:hAnsi="Calibri" w:eastAsia="Times New Roman"/>
      <w:sz w:val="24"/>
      <w:lang w:val="ru-RU" w:eastAsia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11">
    <w:name w:val="Îáû÷íûé1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auto"/>
    </w:pPr>
    <w:rPr>
      <w:rFonts w:ascii="FreeSet" w:hAnsi="FreeSet" w:eastAsia="Times New Roman" w:cs="Liberation Serif"/>
      <w:color w:val="000000"/>
      <w:kern w:val="2"/>
      <w:sz w:val="24"/>
      <w:szCs w:val="24"/>
      <w:lang w:val="en-US" w:eastAsia="ar-SA" w:bidi="ar-SA"/>
    </w:rPr>
  </w:style>
  <w:style w:type="paragraph" w:styleId="Style19">
    <w:name w:val="Header"/>
    <w:basedOn w:val="Normal"/>
    <w:pPr>
      <w:tabs>
        <w:tab w:val="clear" w:pos="709"/>
        <w:tab w:val="center" w:pos="4819" w:leader="none"/>
        <w:tab w:val="right" w:pos="9639" w:leader="none"/>
      </w:tabs>
      <w:spacing w:lineRule="auto" w:line="240" w:before="0" w:after="0"/>
    </w:pPr>
    <w:rPr>
      <w:sz w:val="20"/>
      <w:szCs w:val="20"/>
      <w:lang w:val="x-none" w:eastAsia="x-none"/>
    </w:rPr>
  </w:style>
  <w:style w:type="paragraph" w:styleId="TableParagraph">
    <w:name w:val="Table Paragraph"/>
    <w:basedOn w:val="Normal"/>
    <w:qFormat/>
    <w:pPr>
      <w:widowControl w:val="false"/>
      <w:suppressAutoHyphens w:val="true"/>
    </w:pPr>
    <w:rPr>
      <w:rFonts w:ascii="Times New Roman" w:hAnsi="Times New Roman" w:eastAsia="Times New Roman" w:cs="Times New Roman"/>
      <w:lang w:val="en-US" w:eastAsia="zh-CN"/>
    </w:rPr>
  </w:style>
  <w:style w:type="paragraph" w:styleId="Rvps2">
    <w:name w:val="rvps2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  <w:lang w:eastAsia="uk-UA"/>
    </w:rPr>
  </w:style>
  <w:style w:type="paragraph" w:styleId="12">
    <w:name w:val="Обычный1"/>
    <w:qFormat/>
    <w:pPr>
      <w:widowControl/>
      <w:suppressAutoHyphens w:val="true"/>
      <w:kinsoku w:val="true"/>
      <w:overflowPunct w:val="false"/>
      <w:autoSpaceDE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zh-CN" w:bidi="ar-SA"/>
    </w:rPr>
  </w:style>
  <w:style w:type="paragraph" w:styleId="Style20">
    <w:name w:val="Заголовок таблиці"/>
    <w:basedOn w:val="Style16"/>
    <w:qFormat/>
    <w:pPr>
      <w:suppressLineNumbers/>
      <w:jc w:val="center"/>
    </w:pPr>
    <w:rPr>
      <w:b/>
      <w:bCs/>
    </w:rPr>
  </w:style>
  <w:style w:type="paragraph" w:styleId="ListParagraph11">
    <w:name w:val="List Paragraph11"/>
    <w:basedOn w:val="Normal"/>
    <w:qFormat/>
    <w:pPr>
      <w:suppressAutoHyphens w:val="false"/>
      <w:spacing w:lineRule="auto" w:line="240" w:before="0" w:after="0"/>
      <w:ind w:left="720" w:right="0" w:hanging="0"/>
      <w:contextualSpacing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paragraph" w:styleId="Style21">
    <w:name w:val="Базовый"/>
    <w:qFormat/>
    <w:pPr>
      <w:widowControl w:val="false"/>
      <w:suppressAutoHyphens w:val="true"/>
      <w:kinsoku w:val="true"/>
      <w:overflowPunct w:val="true"/>
      <w:autoSpaceDE w:val="true"/>
      <w:bidi w:val="0"/>
      <w:spacing w:lineRule="atLeast" w:line="100" w:before="0" w:after="0"/>
      <w:jc w:val="left"/>
    </w:pPr>
    <w:rPr>
      <w:rFonts w:ascii="Times New Roman CYR" w:hAnsi="Times New Roman CYR" w:eastAsia="Times New Roman CYR" w:cs="Liberation Serif"/>
      <w:color w:val="auto"/>
      <w:kern w:val="0"/>
      <w:sz w:val="24"/>
      <w:szCs w:val="24"/>
      <w:lang w:val="ru-RU" w:eastAsia="ar-SA" w:bidi="hi-IN"/>
    </w:rPr>
  </w:style>
  <w:style w:type="paragraph" w:styleId="HTML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left"/>
    </w:pPr>
    <w:rPr>
      <w:rFonts w:ascii="Courier New" w:hAnsi="Courier New" w:cs="Courier New"/>
      <w:sz w:val="20"/>
    </w:rPr>
  </w:style>
  <w:style w:type="paragraph" w:styleId="Style22">
    <w:name w:val="Звичайний (веб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Calibri" w:cs="Times New Roman"/>
      <w:sz w:val="24"/>
      <w:szCs w:val="24"/>
      <w:lang w:val="ru-RU" w:eastAsia="zh-CN"/>
    </w:rPr>
  </w:style>
  <w:style w:type="paragraph" w:styleId="21">
    <w:name w:val="Основной текст 21"/>
    <w:basedOn w:val="Normal"/>
    <w:qFormat/>
    <w:pPr>
      <w:suppressAutoHyphens w:val="false"/>
      <w:overflowPunct w:val="false"/>
      <w:spacing w:lineRule="auto" w:line="480" w:before="0" w:after="120"/>
    </w:pPr>
    <w:rPr>
      <w:rFonts w:ascii="Times New Roman CYR" w:hAnsi="Times New Roman CYR" w:eastAsia="Calibri" w:cs="Times New Roman"/>
      <w:kern w:val="0"/>
      <w:lang w:val="x-none" w:bidi="ar-SA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LibreOffice/7.5.0.3$Windows_X86_64 LibreOffice_project/c21113d003cd3efa8c53188764377a8272d9d6de</Application>
  <AppVersion>15.0000</AppVersion>
  <Pages>5</Pages>
  <Words>1386</Words>
  <Characters>8897</Characters>
  <CharactersWithSpaces>10111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2023-03-09T23:27:02Z</dcterms:created>
  <dc:creator/>
  <dc:description/>
  <dc:language>uk-UA</dc:language>
  <cp:lastModifiedBy/>
  <cp:revision>1</cp:revision>
  <dc:subject/>
  <dc:title/>
</cp:coreProperties>
</file>