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0939E3" w:rsidRPr="000939E3">
              <w:rPr>
                <w:rFonts w:ascii="Times New Roman" w:eastAsia="Times New Roman" w:hAnsi="Times New Roman" w:cs="Times New Roman"/>
                <w:b/>
                <w:bCs/>
                <w:sz w:val="24"/>
                <w:szCs w:val="24"/>
                <w:lang w:val="uk-UA" w:eastAsia="uk-UA"/>
              </w:rPr>
              <w:t>Туберкулін  за кодом ДК 021:2015  33600000-6 - Фармацевтична продукція</w:t>
            </w:r>
            <w:r w:rsidR="00ED2F07" w:rsidRPr="00527BDC">
              <w:rPr>
                <w:rFonts w:ascii="Times New Roman" w:eastAsia="Times New Roman" w:hAnsi="Times New Roman" w:cs="Times New Roman"/>
                <w:b/>
                <w:bCs/>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w:t>
            </w:r>
            <w:r w:rsidR="006B48AF" w:rsidRPr="00527BDC">
              <w:rPr>
                <w:rFonts w:ascii="Times New Roman" w:eastAsia="Times New Roman" w:hAnsi="Times New Roman" w:cs="Times New Roman"/>
                <w:sz w:val="24"/>
                <w:szCs w:val="24"/>
                <w:lang w:val="uk-UA" w:eastAsia="uk-UA"/>
              </w:rPr>
              <w:lastRenderedPageBreak/>
              <w:t>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527BDC">
              <w:rPr>
                <w:rFonts w:ascii="Times New Roman" w:eastAsia="Times New Roman" w:hAnsi="Times New Roman" w:cs="Times New Roman"/>
                <w:kern w:val="16"/>
                <w:sz w:val="24"/>
                <w:szCs w:val="24"/>
                <w:lang w:val="uk-UA" w:eastAsia="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 xml:space="preserve">31 </w:t>
            </w:r>
            <w:r w:rsidR="005F439F" w:rsidRPr="00527BDC">
              <w:rPr>
                <w:rFonts w:ascii="Times New Roman" w:eastAsia="Times New Roman" w:hAnsi="Times New Roman" w:cs="Times New Roman"/>
                <w:b/>
                <w:kern w:val="16"/>
                <w:sz w:val="24"/>
                <w:szCs w:val="24"/>
                <w:lang w:val="uk-UA" w:eastAsia="uk-UA"/>
              </w:rPr>
              <w:lastRenderedPageBreak/>
              <w:t>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2C26C6" w:rsidRPr="002C26C6" w:rsidRDefault="002C26C6" w:rsidP="002C26C6">
            <w:pPr>
              <w:spacing w:after="0" w:line="240" w:lineRule="auto"/>
              <w:jc w:val="both"/>
              <w:rPr>
                <w:rFonts w:ascii="Times New Roman" w:eastAsia="Times New Roman" w:hAnsi="Times New Roman" w:cs="Times New Roman"/>
                <w:b/>
                <w:sz w:val="24"/>
                <w:szCs w:val="24"/>
                <w:lang w:val="uk-UA" w:eastAsia="ru-RU"/>
              </w:rPr>
            </w:pPr>
            <w:r w:rsidRPr="002C26C6">
              <w:rPr>
                <w:rFonts w:ascii="Times New Roman" w:eastAsia="Times New Roman" w:hAnsi="Times New Roman" w:cs="Times New Roman"/>
                <w:b/>
                <w:sz w:val="24"/>
                <w:szCs w:val="24"/>
                <w:lang w:val="uk-UA" w:eastAsia="ru-RU"/>
              </w:rPr>
              <w:t>П/р UA278201720344340005000079775</w:t>
            </w:r>
          </w:p>
          <w:p w:rsidR="00A24CD4" w:rsidRDefault="002C26C6" w:rsidP="002C26C6">
            <w:pPr>
              <w:spacing w:after="0" w:line="240" w:lineRule="auto"/>
              <w:jc w:val="both"/>
              <w:rPr>
                <w:rFonts w:ascii="Times New Roman" w:eastAsia="Times New Roman" w:hAnsi="Times New Roman" w:cs="Times New Roman"/>
                <w:b/>
                <w:sz w:val="24"/>
                <w:szCs w:val="24"/>
                <w:lang w:val="uk-UA" w:eastAsia="ru-RU"/>
              </w:rPr>
            </w:pPr>
            <w:r w:rsidRPr="002C26C6">
              <w:rPr>
                <w:rFonts w:ascii="Times New Roman" w:eastAsia="Times New Roman" w:hAnsi="Times New Roman" w:cs="Times New Roman"/>
                <w:b/>
                <w:sz w:val="24"/>
                <w:szCs w:val="24"/>
                <w:lang w:val="uk-UA" w:eastAsia="ru-RU"/>
              </w:rPr>
              <w:t>В УДКСУ у Гайсинському районі</w:t>
            </w:r>
            <w:bookmarkStart w:id="0" w:name="_GoBack"/>
            <w:bookmarkEnd w:id="0"/>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123A92" w:rsidP="004A2E39">
            <w:pPr>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Одиниці ви</w:t>
            </w:r>
            <w:r w:rsidR="004A2E39" w:rsidRPr="00527BDC">
              <w:rPr>
                <w:rFonts w:ascii="Times New Roman" w:eastAsia="Times New Roman" w:hAnsi="Times New Roman" w:cs="Times New Roman"/>
                <w:b/>
                <w:bCs/>
                <w:sz w:val="24"/>
                <w:szCs w:val="24"/>
                <w:lang w:val="uk-UA" w:eastAsia="uk-UA"/>
              </w:rPr>
              <w:t>міру</w:t>
            </w:r>
          </w:p>
        </w:tc>
        <w:tc>
          <w:tcPr>
            <w:tcW w:w="1134"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Кіль-кість</w:t>
            </w:r>
            <w:proofErr w:type="spellEnd"/>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A2E39" w:rsidRPr="006409D2" w:rsidTr="00527BDC">
        <w:trPr>
          <w:trHeight w:val="325"/>
        </w:trPr>
        <w:tc>
          <w:tcPr>
            <w:tcW w:w="875" w:type="dxa"/>
          </w:tcPr>
          <w:p w:rsidR="004A2E39" w:rsidRPr="00EB6EFC" w:rsidRDefault="00EB6EFC" w:rsidP="00B128C6">
            <w:pPr>
              <w:suppressAutoHyphens/>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4176" w:type="dxa"/>
            <w:vAlign w:val="center"/>
          </w:tcPr>
          <w:p w:rsidR="004A2E39" w:rsidRPr="00DC1829" w:rsidRDefault="000939E3" w:rsidP="00B128C6">
            <w:pPr>
              <w:suppressAutoHyphens/>
              <w:rPr>
                <w:rFonts w:ascii="Times New Roman" w:eastAsia="Times New Roman" w:hAnsi="Times New Roman" w:cs="Times New Roman"/>
                <w:sz w:val="24"/>
                <w:szCs w:val="24"/>
                <w:lang w:val="uk-UA" w:eastAsia="ar-SA"/>
              </w:rPr>
            </w:pPr>
            <w:r w:rsidRPr="000939E3">
              <w:rPr>
                <w:rFonts w:ascii="Times New Roman" w:eastAsia="Times New Roman" w:hAnsi="Times New Roman" w:cs="Times New Roman"/>
                <w:sz w:val="24"/>
                <w:szCs w:val="24"/>
                <w:lang w:val="uk-UA" w:eastAsia="ar-SA"/>
              </w:rPr>
              <w:t>Туберкулін 1мл №10</w:t>
            </w:r>
          </w:p>
        </w:tc>
        <w:tc>
          <w:tcPr>
            <w:tcW w:w="1343" w:type="dxa"/>
            <w:vAlign w:val="center"/>
          </w:tcPr>
          <w:p w:rsidR="004A2E39" w:rsidRPr="00527BDC" w:rsidRDefault="00123A92" w:rsidP="00B128C6">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Шт.</w:t>
            </w:r>
          </w:p>
        </w:tc>
        <w:tc>
          <w:tcPr>
            <w:tcW w:w="1134" w:type="dxa"/>
            <w:vAlign w:val="center"/>
          </w:tcPr>
          <w:p w:rsidR="004A2E39" w:rsidRPr="00527BDC" w:rsidRDefault="000939E3" w:rsidP="001A09DE">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r w:rsidR="004A2E39" w:rsidRPr="006409D2" w:rsidTr="00527BDC">
        <w:trPr>
          <w:trHeight w:val="325"/>
        </w:trPr>
        <w:tc>
          <w:tcPr>
            <w:tcW w:w="875" w:type="dxa"/>
          </w:tcPr>
          <w:p w:rsidR="004A2E39" w:rsidRPr="00527BDC" w:rsidRDefault="004A2E39" w:rsidP="004A2E39">
            <w:pPr>
              <w:suppressAutoHyphens/>
              <w:rPr>
                <w:rFonts w:ascii="Times New Roman" w:eastAsia="Times New Roman" w:hAnsi="Times New Roman" w:cs="Times New Roman"/>
                <w:bCs/>
                <w:sz w:val="24"/>
                <w:szCs w:val="24"/>
                <w:lang w:val="uk-UA" w:eastAsia="uk-UA"/>
              </w:rPr>
            </w:pPr>
          </w:p>
        </w:tc>
        <w:tc>
          <w:tcPr>
            <w:tcW w:w="4176" w:type="dxa"/>
            <w:vAlign w:val="center"/>
            <w:hideMark/>
          </w:tcPr>
          <w:p w:rsidR="004A2E39" w:rsidRPr="00527BDC" w:rsidRDefault="004A2E39"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0939E3" w:rsidRPr="000939E3" w:rsidRDefault="000939E3" w:rsidP="000939E3">
            <w:pPr>
              <w:spacing w:after="0" w:line="240" w:lineRule="auto"/>
              <w:jc w:val="both"/>
              <w:rPr>
                <w:rFonts w:ascii="Times New Roman" w:eastAsia="Times New Roman" w:hAnsi="Times New Roman" w:cs="Times New Roman"/>
                <w:b/>
                <w:sz w:val="24"/>
                <w:szCs w:val="24"/>
                <w:lang w:val="uk-UA" w:eastAsia="ru-RU"/>
              </w:rPr>
            </w:pPr>
            <w:r w:rsidRPr="000939E3">
              <w:rPr>
                <w:rFonts w:ascii="Times New Roman" w:eastAsia="Times New Roman" w:hAnsi="Times New Roman" w:cs="Times New Roman"/>
                <w:b/>
                <w:sz w:val="24"/>
                <w:szCs w:val="24"/>
                <w:lang w:val="uk-UA" w:eastAsia="ru-RU"/>
              </w:rPr>
              <w:t xml:space="preserve">П/р </w:t>
            </w:r>
            <w:r w:rsidRPr="000939E3">
              <w:rPr>
                <w:rFonts w:ascii="Times New Roman" w:eastAsia="Times New Roman" w:hAnsi="Times New Roman" w:cs="Times New Roman"/>
                <w:b/>
                <w:sz w:val="24"/>
                <w:szCs w:val="24"/>
                <w:lang w:val="en-US" w:eastAsia="ru-RU"/>
              </w:rPr>
              <w:t>UA</w:t>
            </w:r>
            <w:r w:rsidRPr="000939E3">
              <w:rPr>
                <w:rFonts w:ascii="Times New Roman" w:eastAsia="Times New Roman" w:hAnsi="Times New Roman" w:cs="Times New Roman"/>
                <w:b/>
                <w:sz w:val="24"/>
                <w:szCs w:val="24"/>
                <w:lang w:val="uk-UA" w:eastAsia="ru-RU"/>
              </w:rPr>
              <w:t>278201720344340005000079775</w:t>
            </w:r>
          </w:p>
          <w:p w:rsidR="000939E3" w:rsidRPr="000939E3" w:rsidRDefault="000939E3" w:rsidP="000939E3">
            <w:pPr>
              <w:spacing w:after="0" w:line="240" w:lineRule="auto"/>
              <w:jc w:val="both"/>
              <w:rPr>
                <w:rFonts w:ascii="Times New Roman" w:eastAsia="Times New Roman" w:hAnsi="Times New Roman" w:cs="Times New Roman"/>
                <w:b/>
                <w:sz w:val="24"/>
                <w:szCs w:val="24"/>
                <w:lang w:val="uk-UA" w:eastAsia="ru-RU"/>
              </w:rPr>
            </w:pPr>
            <w:r w:rsidRPr="000939E3">
              <w:rPr>
                <w:rFonts w:ascii="Times New Roman" w:eastAsia="Times New Roman" w:hAnsi="Times New Roman" w:cs="Times New Roman"/>
                <w:b/>
                <w:sz w:val="24"/>
                <w:szCs w:val="24"/>
                <w:lang w:val="uk-UA" w:eastAsia="ru-RU"/>
              </w:rPr>
              <w:t>В УДКСУ у Гайсинському районі</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pPr>
        <w:rPr>
          <w:lang w:val="uk-UA"/>
        </w:rPr>
      </w:pPr>
    </w:p>
    <w:sectPr w:rsidR="006A6B58" w:rsidRPr="00527BDC" w:rsidSect="00FF160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0939E3"/>
    <w:rsid w:val="00123A92"/>
    <w:rsid w:val="001A09DE"/>
    <w:rsid w:val="002C26C6"/>
    <w:rsid w:val="002E351A"/>
    <w:rsid w:val="003B7D15"/>
    <w:rsid w:val="0048177B"/>
    <w:rsid w:val="004A2E39"/>
    <w:rsid w:val="00527BDC"/>
    <w:rsid w:val="005F439F"/>
    <w:rsid w:val="006409D2"/>
    <w:rsid w:val="006A6B58"/>
    <w:rsid w:val="006B48AF"/>
    <w:rsid w:val="006D6CC3"/>
    <w:rsid w:val="006F4AF4"/>
    <w:rsid w:val="00917AB4"/>
    <w:rsid w:val="0093758F"/>
    <w:rsid w:val="00A063B5"/>
    <w:rsid w:val="00A24CD4"/>
    <w:rsid w:val="00B128C6"/>
    <w:rsid w:val="00B96426"/>
    <w:rsid w:val="00D74B77"/>
    <w:rsid w:val="00DC1829"/>
    <w:rsid w:val="00DE444E"/>
    <w:rsid w:val="00E21129"/>
    <w:rsid w:val="00EA0105"/>
    <w:rsid w:val="00EB6EFC"/>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2023-01-11T12:55:00Z</dcterms:created>
  <dcterms:modified xsi:type="dcterms:W3CDTF">2024-04-16T06:37:00Z</dcterms:modified>
</cp:coreProperties>
</file>