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8D7F" w14:textId="77777777" w:rsidR="00552430" w:rsidRDefault="00552430" w:rsidP="00552430">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A0A216B" w14:textId="77777777" w:rsidR="00552430" w:rsidRPr="00E0651C" w:rsidRDefault="00552430" w:rsidP="00376DDD">
      <w:pPr>
        <w:tabs>
          <w:tab w:val="left" w:pos="2127"/>
        </w:tabs>
        <w:spacing w:line="240" w:lineRule="auto"/>
        <w:jc w:val="center"/>
        <w:rPr>
          <w:rFonts w:ascii="Times New Roman" w:eastAsia="Times New Roman" w:hAnsi="Times New Roman" w:cs="Times New Roman"/>
          <w:b/>
          <w:color w:val="222222"/>
          <w:sz w:val="18"/>
          <w:szCs w:val="24"/>
        </w:rPr>
      </w:pPr>
      <w:bookmarkStart w:id="0" w:name="_heading=h.gjdgxs" w:colFirst="0" w:colLast="0"/>
      <w:bookmarkEnd w:id="0"/>
    </w:p>
    <w:p w14:paraId="01B0EF60" w14:textId="620FD697" w:rsidR="00552430" w:rsidRDefault="00552430" w:rsidP="00376DDD">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Вінниця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202</w:t>
      </w:r>
      <w:r w:rsidR="00B74E7D">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7BDBDFC2" w14:textId="77777777" w:rsidR="00552430" w:rsidRPr="00E0651C" w:rsidRDefault="00552430" w:rsidP="00376DDD">
      <w:pPr>
        <w:spacing w:line="240" w:lineRule="auto"/>
        <w:rPr>
          <w:rFonts w:ascii="Times New Roman" w:eastAsia="Times New Roman" w:hAnsi="Times New Roman" w:cs="Times New Roman"/>
          <w:sz w:val="18"/>
          <w:szCs w:val="24"/>
        </w:rPr>
      </w:pPr>
    </w:p>
    <w:p w14:paraId="3D2403EC" w14:textId="77777777" w:rsidR="00552430" w:rsidRDefault="00552430" w:rsidP="00B74E7D">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sidRPr="00552430">
        <w:rPr>
          <w:rFonts w:ascii="Times New Roman" w:eastAsia="Times New Roman" w:hAnsi="Times New Roman" w:cs="Times New Roman"/>
          <w:b/>
          <w:sz w:val="24"/>
          <w:szCs w:val="24"/>
        </w:rPr>
        <w:t>Комунальне некомерційне підприємство «Вінницька міська клінічна лікарня «Центр матері та дитини»,</w:t>
      </w:r>
      <w:r>
        <w:rPr>
          <w:rFonts w:ascii="Times New Roman" w:eastAsia="Times New Roman" w:hAnsi="Times New Roman" w:cs="Times New Roman"/>
          <w:sz w:val="24"/>
          <w:szCs w:val="24"/>
        </w:rPr>
        <w:t xml:space="preserve"> код ЄДРПОУ 25500212, надалі іменується </w:t>
      </w:r>
      <w:r>
        <w:rPr>
          <w:rFonts w:ascii="Times New Roman" w:eastAsia="Times New Roman" w:hAnsi="Times New Roman" w:cs="Times New Roman"/>
          <w:color w:val="222222"/>
          <w:sz w:val="24"/>
          <w:szCs w:val="24"/>
        </w:rPr>
        <w:t>– ЗАМОВНИК,</w:t>
      </w:r>
      <w:r>
        <w:rPr>
          <w:rFonts w:ascii="Times New Roman" w:eastAsia="Times New Roman" w:hAnsi="Times New Roman" w:cs="Times New Roman"/>
          <w:sz w:val="24"/>
          <w:szCs w:val="24"/>
        </w:rPr>
        <w:t xml:space="preserve"> в особі </w:t>
      </w:r>
      <w:r w:rsidRPr="00552430">
        <w:rPr>
          <w:rFonts w:ascii="Times New Roman" w:eastAsia="Times New Roman" w:hAnsi="Times New Roman" w:cs="Times New Roman"/>
          <w:b/>
          <w:sz w:val="24"/>
          <w:szCs w:val="24"/>
        </w:rPr>
        <w:t>директора Володимира ПРИСЯЖНЮКА</w:t>
      </w:r>
      <w:r w:rsidRPr="00552430">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який діє на підставі Статуту, з однієї сторони, та</w:t>
      </w:r>
    </w:p>
    <w:p w14:paraId="29B75B9D" w14:textId="77777777" w:rsidR="00552430" w:rsidRPr="00E0651C" w:rsidRDefault="00552430" w:rsidP="00B74E7D">
      <w:pPr>
        <w:shd w:val="clear" w:color="auto" w:fill="FFFFFF"/>
        <w:tabs>
          <w:tab w:val="left" w:pos="4570"/>
          <w:tab w:val="left" w:pos="4680"/>
        </w:tabs>
        <w:spacing w:line="240" w:lineRule="auto"/>
        <w:jc w:val="both"/>
        <w:rPr>
          <w:rFonts w:ascii="Times New Roman" w:eastAsia="Times New Roman" w:hAnsi="Times New Roman" w:cs="Times New Roman"/>
          <w:color w:val="222222"/>
          <w:sz w:val="18"/>
          <w:szCs w:val="24"/>
        </w:rPr>
      </w:pPr>
    </w:p>
    <w:p w14:paraId="7A425891" w14:textId="58E2950E" w:rsidR="00552430" w:rsidRDefault="00552430" w:rsidP="00B74E7D">
      <w:pPr>
        <w:shd w:val="clear" w:color="auto" w:fill="FFFFFF"/>
        <w:tabs>
          <w:tab w:val="left" w:pos="4570"/>
          <w:tab w:val="left"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 код ЄДРПОУ ________, надалі іменується – ПОСТАЧАЛЬНИК, в особі 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1392749" w14:textId="77777777" w:rsidR="00552430" w:rsidRPr="00E0651C" w:rsidRDefault="00552430" w:rsidP="00B74E7D">
      <w:pPr>
        <w:shd w:val="clear" w:color="auto" w:fill="FFFFFF"/>
        <w:tabs>
          <w:tab w:val="left" w:pos="4570"/>
          <w:tab w:val="left" w:pos="4680"/>
        </w:tabs>
        <w:spacing w:line="240" w:lineRule="auto"/>
        <w:jc w:val="both"/>
        <w:rPr>
          <w:rFonts w:ascii="Times New Roman" w:eastAsia="Times New Roman" w:hAnsi="Times New Roman" w:cs="Times New Roman"/>
          <w:color w:val="222222"/>
          <w:sz w:val="18"/>
          <w:szCs w:val="24"/>
        </w:rPr>
      </w:pPr>
    </w:p>
    <w:p w14:paraId="5E4CBE44" w14:textId="6D5AE2DA" w:rsidR="00552430" w:rsidRPr="00552430" w:rsidRDefault="00552430" w:rsidP="00B74E7D">
      <w:pPr>
        <w:pStyle w:val="af8"/>
        <w:widowControl w:val="0"/>
        <w:numPr>
          <w:ilvl w:val="0"/>
          <w:numId w:val="14"/>
        </w:numPr>
        <w:spacing w:line="240" w:lineRule="auto"/>
        <w:jc w:val="center"/>
        <w:rPr>
          <w:rFonts w:ascii="Times New Roman" w:eastAsia="Times New Roman" w:hAnsi="Times New Roman" w:cs="Times New Roman"/>
          <w:b/>
          <w:color w:val="222222"/>
          <w:sz w:val="24"/>
          <w:szCs w:val="24"/>
        </w:rPr>
      </w:pPr>
      <w:r w:rsidRPr="00552430">
        <w:rPr>
          <w:rFonts w:ascii="Times New Roman" w:eastAsia="Times New Roman" w:hAnsi="Times New Roman" w:cs="Times New Roman"/>
          <w:b/>
          <w:color w:val="222222"/>
          <w:sz w:val="24"/>
          <w:szCs w:val="24"/>
        </w:rPr>
        <w:t>ПРЕДМЕТ ДОГОВОРУ</w:t>
      </w:r>
    </w:p>
    <w:p w14:paraId="412C1FD4" w14:textId="2DA0C048" w:rsidR="00552430" w:rsidRPr="00B74E7D" w:rsidRDefault="00552430" w:rsidP="00BC1103">
      <w:pPr>
        <w:pStyle w:val="1"/>
        <w:spacing w:before="0" w:after="0" w:line="240" w:lineRule="auto"/>
        <w:jc w:val="both"/>
        <w:textAlignment w:val="baseline"/>
      </w:pPr>
      <w:r w:rsidRPr="00BC1103">
        <w:rPr>
          <w:rFonts w:ascii="Times New Roman" w:eastAsia="Times New Roman" w:hAnsi="Times New Roman" w:cs="Times New Roman"/>
          <w:b w:val="0"/>
          <w:color w:val="222222"/>
          <w:sz w:val="24"/>
          <w:szCs w:val="24"/>
        </w:rPr>
        <w:t>1.1. ПОСТАЧАЛЬНИК бере на себе зобов’язання поставити ЗАМОВНИКУ фармацевтичну продукцію:</w:t>
      </w:r>
      <w:r w:rsidR="006001F5" w:rsidRPr="00BC1103">
        <w:rPr>
          <w:rFonts w:ascii="Times New Roman" w:hAnsi="Times New Roman" w:cs="Times New Roman"/>
          <w:i/>
          <w:sz w:val="24"/>
          <w:szCs w:val="24"/>
        </w:rPr>
        <w:t xml:space="preserve"> </w:t>
      </w:r>
      <w:r w:rsidR="00BC1103" w:rsidRPr="00BC1103">
        <w:rPr>
          <w:rFonts w:ascii="Times New Roman" w:hAnsi="Times New Roman" w:cs="Times New Roman"/>
          <w:b w:val="0"/>
          <w:bCs/>
          <w:i/>
          <w:color w:val="000000"/>
          <w:sz w:val="24"/>
          <w:szCs w:val="24"/>
          <w:bdr w:val="none" w:sz="0" w:space="0" w:color="auto" w:frame="1"/>
        </w:rPr>
        <w:t>Тест-смужки для експрес аналізу сечі на 1-10 параметрів №100</w:t>
      </w:r>
      <w:r w:rsidR="00E0651C">
        <w:rPr>
          <w:rFonts w:ascii="Times New Roman" w:hAnsi="Times New Roman" w:cs="Times New Roman"/>
          <w:b w:val="0"/>
          <w:bCs/>
          <w:i/>
          <w:color w:val="000000"/>
          <w:sz w:val="24"/>
          <w:szCs w:val="24"/>
          <w:bdr w:val="none" w:sz="0" w:space="0" w:color="auto" w:frame="1"/>
        </w:rPr>
        <w:t xml:space="preserve"> </w:t>
      </w:r>
      <w:r w:rsidR="00E0651C" w:rsidRPr="00E0651C">
        <w:rPr>
          <w:rFonts w:ascii="Times New Roman" w:hAnsi="Times New Roman" w:cs="Times New Roman"/>
          <w:b w:val="0"/>
          <w:bCs/>
          <w:i/>
          <w:color w:val="000000"/>
          <w:sz w:val="24"/>
          <w:szCs w:val="24"/>
          <w:bdr w:val="none" w:sz="0" w:space="0" w:color="auto" w:frame="1"/>
        </w:rPr>
        <w:t>сумісні з аналізатором сечі LX-860</w:t>
      </w:r>
      <w:r w:rsidR="00705C8D" w:rsidRPr="00BC1103">
        <w:rPr>
          <w:rFonts w:ascii="Times New Roman" w:hAnsi="Times New Roman" w:cs="Times New Roman"/>
          <w:b w:val="0"/>
          <w:bCs/>
          <w:i/>
          <w:color w:val="000000"/>
          <w:sz w:val="24"/>
          <w:szCs w:val="24"/>
        </w:rPr>
        <w:t xml:space="preserve"> </w:t>
      </w:r>
      <w:r w:rsidRPr="00BC1103">
        <w:rPr>
          <w:rFonts w:ascii="Times New Roman" w:eastAsia="Times New Roman" w:hAnsi="Times New Roman" w:cs="Times New Roman"/>
          <w:b w:val="0"/>
          <w:color w:val="222222"/>
          <w:sz w:val="24"/>
          <w:szCs w:val="24"/>
        </w:rPr>
        <w:t>(ID: ________), а ЗАМОВНИК - прийняти таку продукцію та оплатити її в порядку та на умовах, визначених цим Договором.</w:t>
      </w:r>
    </w:p>
    <w:p w14:paraId="54CDDBC9" w14:textId="0CC7EC88" w:rsidR="00552430" w:rsidRDefault="00552430" w:rsidP="00B74E7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CC9D72C" w14:textId="77777777" w:rsidR="00552430" w:rsidRPr="00E0651C" w:rsidRDefault="00552430" w:rsidP="00376DDD">
      <w:pPr>
        <w:spacing w:line="240" w:lineRule="auto"/>
        <w:jc w:val="both"/>
        <w:rPr>
          <w:rFonts w:ascii="Times New Roman" w:eastAsia="Times New Roman" w:hAnsi="Times New Roman" w:cs="Times New Roman"/>
          <w:color w:val="222222"/>
          <w:sz w:val="18"/>
          <w:szCs w:val="24"/>
        </w:rPr>
      </w:pPr>
    </w:p>
    <w:p w14:paraId="78758AB4" w14:textId="77777777" w:rsidR="00552430" w:rsidRDefault="00552430" w:rsidP="00376DDD">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37015C74"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4A44AA9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Сума Договору становить: ________________ з / без ПДВ.</w:t>
      </w:r>
    </w:p>
    <w:p w14:paraId="4751B554" w14:textId="77777777" w:rsidR="00552430" w:rsidRPr="00E0651C" w:rsidRDefault="00552430" w:rsidP="00376DDD">
      <w:pPr>
        <w:spacing w:line="240" w:lineRule="auto"/>
        <w:jc w:val="both"/>
        <w:rPr>
          <w:rFonts w:ascii="Times New Roman" w:eastAsia="Times New Roman" w:hAnsi="Times New Roman" w:cs="Times New Roman"/>
          <w:color w:val="222222"/>
          <w:sz w:val="18"/>
          <w:szCs w:val="24"/>
        </w:rPr>
      </w:pPr>
    </w:p>
    <w:p w14:paraId="24A63A20" w14:textId="77777777" w:rsidR="00552430" w:rsidRDefault="00552430" w:rsidP="00376DDD">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4ED4E18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57DCF21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w:t>
      </w:r>
    </w:p>
    <w:p w14:paraId="5240A52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50D0E4F"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0EA9C34"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Розрахунок здійснюється в безготівковій формі, шляхом перерахування ЗАМОВНИКОМ коштів на поточний банківський рахунок ПОСТАЧАЛЬНИКА.</w:t>
      </w:r>
    </w:p>
    <w:p w14:paraId="337756E0" w14:textId="5149D74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3.5. Оплата вартості поставленої продукції здійснюється ЗАМОВНИКОМ </w:t>
      </w:r>
      <w:r w:rsidR="003263B1">
        <w:rPr>
          <w:rFonts w:ascii="Times New Roman" w:eastAsia="Times New Roman" w:hAnsi="Times New Roman" w:cs="Times New Roman"/>
          <w:color w:val="222222"/>
          <w:sz w:val="24"/>
          <w:szCs w:val="24"/>
        </w:rPr>
        <w:t>протягом 20 (двадцяти) банківських днів з моменту підписання Сторонами відповідної видаткової накладної,</w:t>
      </w:r>
      <w:r>
        <w:rPr>
          <w:rFonts w:ascii="Times New Roman" w:eastAsia="Times New Roman" w:hAnsi="Times New Roman" w:cs="Times New Roman"/>
          <w:color w:val="222222"/>
          <w:sz w:val="24"/>
          <w:szCs w:val="24"/>
        </w:rPr>
        <w:t xml:space="preserve"> за умов відсутності будь-яких зауважень до продукції з боку ЗАМОВНИКА та наявності фінансування.</w:t>
      </w:r>
    </w:p>
    <w:p w14:paraId="044C9D01" w14:textId="1DA0E6E5"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Датою оплати є дата списання грошових коштів з рахунку ЗАМОВНИКА.</w:t>
      </w:r>
    </w:p>
    <w:p w14:paraId="0A2FE9BC" w14:textId="7CDB189F"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3.6. У разі затримки фінансування понад строк, передбачений у </w:t>
      </w:r>
      <w:r w:rsidR="003263B1">
        <w:rPr>
          <w:rFonts w:ascii="Times New Roman" w:eastAsia="Times New Roman" w:hAnsi="Times New Roman" w:cs="Times New Roman"/>
          <w:color w:val="222222"/>
          <w:sz w:val="24"/>
          <w:szCs w:val="24"/>
        </w:rPr>
        <w:t>пункті 3.5.</w:t>
      </w:r>
      <w:r>
        <w:rPr>
          <w:rFonts w:ascii="Times New Roman" w:eastAsia="Times New Roman" w:hAnsi="Times New Roman" w:cs="Times New Roman"/>
          <w:color w:val="222222"/>
          <w:sz w:val="24"/>
          <w:szCs w:val="24"/>
        </w:rPr>
        <w:t xml:space="preserve">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429D70A0" w14:textId="31B18E5C" w:rsidR="00552430" w:rsidRPr="00376DDD" w:rsidRDefault="00552430" w:rsidP="00376DDD">
      <w:pPr>
        <w:spacing w:line="240" w:lineRule="auto"/>
        <w:jc w:val="center"/>
        <w:rPr>
          <w:rFonts w:ascii="Times New Roman" w:eastAsia="Times New Roman" w:hAnsi="Times New Roman" w:cs="Times New Roman"/>
          <w:b/>
          <w:color w:val="222222"/>
          <w:sz w:val="24"/>
          <w:szCs w:val="24"/>
        </w:rPr>
      </w:pPr>
      <w:bookmarkStart w:id="1" w:name="_GoBack"/>
      <w:bookmarkEnd w:id="1"/>
      <w:r w:rsidRPr="00376DDD">
        <w:rPr>
          <w:rFonts w:ascii="Times New Roman" w:eastAsia="Times New Roman" w:hAnsi="Times New Roman" w:cs="Times New Roman"/>
          <w:b/>
          <w:color w:val="222222"/>
          <w:sz w:val="24"/>
          <w:szCs w:val="24"/>
        </w:rPr>
        <w:lastRenderedPageBreak/>
        <w:t>4. УМОВИ ПОСТАВКИ</w:t>
      </w:r>
    </w:p>
    <w:p w14:paraId="50529FD0" w14:textId="167C805A" w:rsidR="006001F5" w:rsidRPr="00376DDD" w:rsidRDefault="00376DDD" w:rsidP="00376DDD">
      <w:pPr>
        <w:spacing w:line="240" w:lineRule="auto"/>
        <w:ind w:right="100"/>
        <w:jc w:val="both"/>
        <w:rPr>
          <w:rFonts w:ascii="Times New Roman" w:hAnsi="Times New Roman" w:cs="Times New Roman"/>
          <w:sz w:val="24"/>
          <w:szCs w:val="24"/>
        </w:rPr>
      </w:pPr>
      <w:r w:rsidRPr="00376DDD">
        <w:rPr>
          <w:rFonts w:ascii="Times New Roman" w:hAnsi="Times New Roman" w:cs="Times New Roman"/>
          <w:sz w:val="24"/>
          <w:szCs w:val="24"/>
        </w:rPr>
        <w:t>4</w:t>
      </w:r>
      <w:r w:rsidR="006001F5" w:rsidRPr="00376DDD">
        <w:rPr>
          <w:rFonts w:ascii="Times New Roman" w:hAnsi="Times New Roman" w:cs="Times New Roman"/>
          <w:sz w:val="24"/>
          <w:szCs w:val="24"/>
        </w:rPr>
        <w:t>.1. Строк поставки товару - до 31 грудня 202</w:t>
      </w:r>
      <w:r w:rsidR="00B74E7D">
        <w:rPr>
          <w:rFonts w:ascii="Times New Roman" w:hAnsi="Times New Roman" w:cs="Times New Roman"/>
          <w:sz w:val="24"/>
          <w:szCs w:val="24"/>
        </w:rPr>
        <w:t>4</w:t>
      </w:r>
      <w:r w:rsidR="006001F5" w:rsidRPr="00376DDD">
        <w:rPr>
          <w:rFonts w:ascii="Times New Roman" w:hAnsi="Times New Roman" w:cs="Times New Roman"/>
          <w:sz w:val="24"/>
          <w:szCs w:val="24"/>
        </w:rPr>
        <w:t xml:space="preserve"> р. </w:t>
      </w:r>
    </w:p>
    <w:p w14:paraId="0CC9BCA4" w14:textId="77777777" w:rsidR="006001F5" w:rsidRPr="00376DDD" w:rsidRDefault="006001F5" w:rsidP="00376DDD">
      <w:pPr>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2569D65" w14:textId="1CCAC17E" w:rsidR="006001F5" w:rsidRPr="00376DDD" w:rsidRDefault="00376DDD" w:rsidP="00376DDD">
      <w:pPr>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4</w:t>
      </w:r>
      <w:r w:rsidR="006001F5" w:rsidRPr="00376DDD">
        <w:rPr>
          <w:rFonts w:ascii="Times New Roman" w:hAnsi="Times New Roman" w:cs="Times New Roman"/>
          <w:sz w:val="24"/>
          <w:szCs w:val="24"/>
        </w:rPr>
        <w:t xml:space="preserve">.2. Товар повинен бути наданий Замовнику </w:t>
      </w:r>
      <w:r w:rsidR="006001F5" w:rsidRPr="00B74E7D">
        <w:rPr>
          <w:rFonts w:ascii="Times New Roman" w:hAnsi="Times New Roman" w:cs="Times New Roman"/>
          <w:b/>
          <w:sz w:val="24"/>
          <w:szCs w:val="24"/>
          <w:u w:val="single"/>
        </w:rPr>
        <w:t>протягом однієї доби</w:t>
      </w:r>
      <w:r w:rsidR="006001F5" w:rsidRPr="00376DDD">
        <w:rPr>
          <w:rFonts w:ascii="Times New Roman" w:hAnsi="Times New Roman" w:cs="Times New Roman"/>
          <w:sz w:val="24"/>
          <w:szCs w:val="24"/>
        </w:rPr>
        <w:t xml:space="preserve"> з</w:t>
      </w:r>
      <w:r w:rsidR="003263B1">
        <w:rPr>
          <w:rFonts w:ascii="Times New Roman" w:hAnsi="Times New Roman" w:cs="Times New Roman"/>
          <w:sz w:val="24"/>
          <w:szCs w:val="24"/>
        </w:rPr>
        <w:t xml:space="preserve"> моменту надходження замовлення.</w:t>
      </w:r>
    </w:p>
    <w:p w14:paraId="3FE0FFE9" w14:textId="674CF224" w:rsidR="006001F5" w:rsidRPr="00376DDD" w:rsidRDefault="00376DDD" w:rsidP="00376DDD">
      <w:pPr>
        <w:spacing w:line="240" w:lineRule="auto"/>
        <w:ind w:left="1" w:right="100"/>
        <w:jc w:val="both"/>
        <w:rPr>
          <w:rFonts w:ascii="Times New Roman" w:hAnsi="Times New Roman" w:cs="Times New Roman"/>
          <w:sz w:val="24"/>
          <w:szCs w:val="24"/>
        </w:rPr>
      </w:pPr>
      <w:r w:rsidRPr="00376DDD">
        <w:rPr>
          <w:rFonts w:ascii="Times New Roman" w:hAnsi="Times New Roman" w:cs="Times New Roman"/>
          <w:sz w:val="24"/>
          <w:szCs w:val="24"/>
        </w:rPr>
        <w:t>4</w:t>
      </w:r>
      <w:r w:rsidR="006001F5" w:rsidRPr="00376DDD">
        <w:rPr>
          <w:rFonts w:ascii="Times New Roman" w:hAnsi="Times New Roman" w:cs="Times New Roman"/>
          <w:sz w:val="24"/>
          <w:szCs w:val="24"/>
        </w:rPr>
        <w:t>.3. Учасник повинен забезпечувати належні умови зберігання та транспортування</w:t>
      </w:r>
      <w:r w:rsidRPr="00376DDD">
        <w:rPr>
          <w:rFonts w:ascii="Times New Roman" w:hAnsi="Times New Roman" w:cs="Times New Roman"/>
          <w:sz w:val="24"/>
          <w:szCs w:val="24"/>
        </w:rPr>
        <w:t xml:space="preserve"> товару.</w:t>
      </w:r>
    </w:p>
    <w:p w14:paraId="35C66DC7" w14:textId="7078D1A0" w:rsidR="006001F5" w:rsidRPr="00376DDD" w:rsidRDefault="00376DDD" w:rsidP="00376DDD">
      <w:pPr>
        <w:spacing w:line="240" w:lineRule="auto"/>
        <w:ind w:left="1" w:right="100"/>
        <w:jc w:val="both"/>
        <w:rPr>
          <w:rFonts w:ascii="Times New Roman" w:hAnsi="Times New Roman" w:cs="Times New Roman"/>
          <w:sz w:val="24"/>
          <w:szCs w:val="24"/>
        </w:rPr>
      </w:pPr>
      <w:r w:rsidRPr="00376DDD">
        <w:rPr>
          <w:rFonts w:ascii="Times New Roman" w:hAnsi="Times New Roman" w:cs="Times New Roman"/>
          <w:sz w:val="24"/>
          <w:szCs w:val="24"/>
        </w:rPr>
        <w:t>4</w:t>
      </w:r>
      <w:r w:rsidR="006001F5" w:rsidRPr="00376DDD">
        <w:rPr>
          <w:rFonts w:ascii="Times New Roman" w:hAnsi="Times New Roman" w:cs="Times New Roman"/>
          <w:sz w:val="24"/>
          <w:szCs w:val="24"/>
        </w:rPr>
        <w:t xml:space="preserve">.4. Місце поставки товару – за </w:t>
      </w:r>
      <w:proofErr w:type="spellStart"/>
      <w:r w:rsidR="006001F5" w:rsidRPr="00376DDD">
        <w:rPr>
          <w:rFonts w:ascii="Times New Roman" w:hAnsi="Times New Roman" w:cs="Times New Roman"/>
          <w:sz w:val="24"/>
          <w:szCs w:val="24"/>
        </w:rPr>
        <w:t>адресою</w:t>
      </w:r>
      <w:proofErr w:type="spellEnd"/>
      <w:r w:rsidR="006001F5" w:rsidRPr="00376DDD">
        <w:rPr>
          <w:rFonts w:ascii="Times New Roman" w:hAnsi="Times New Roman" w:cs="Times New Roman"/>
          <w:sz w:val="24"/>
          <w:szCs w:val="24"/>
        </w:rPr>
        <w:t xml:space="preserve"> </w:t>
      </w:r>
      <w:r w:rsidR="003263B1">
        <w:rPr>
          <w:rFonts w:ascii="Times New Roman" w:hAnsi="Times New Roman" w:cs="Times New Roman"/>
          <w:sz w:val="24"/>
          <w:szCs w:val="24"/>
        </w:rPr>
        <w:t>З</w:t>
      </w:r>
      <w:r w:rsidR="006001F5" w:rsidRPr="00376DDD">
        <w:rPr>
          <w:rFonts w:ascii="Times New Roman" w:hAnsi="Times New Roman" w:cs="Times New Roman"/>
          <w:sz w:val="24"/>
          <w:szCs w:val="24"/>
        </w:rPr>
        <w:t>амовника, до дверей складу.</w:t>
      </w:r>
    </w:p>
    <w:p w14:paraId="186E46DC" w14:textId="45B9423E" w:rsidR="006001F5" w:rsidRPr="00376DDD" w:rsidRDefault="00376DDD" w:rsidP="00376DDD">
      <w:pPr>
        <w:spacing w:line="240" w:lineRule="auto"/>
        <w:ind w:left="1" w:right="100"/>
        <w:jc w:val="both"/>
        <w:rPr>
          <w:rFonts w:ascii="Times New Roman" w:hAnsi="Times New Roman" w:cs="Times New Roman"/>
          <w:spacing w:val="-6"/>
          <w:sz w:val="24"/>
          <w:szCs w:val="24"/>
        </w:rPr>
      </w:pPr>
      <w:r w:rsidRPr="00376DDD">
        <w:rPr>
          <w:rFonts w:ascii="Times New Roman" w:hAnsi="Times New Roman" w:cs="Times New Roman"/>
          <w:spacing w:val="-6"/>
          <w:sz w:val="24"/>
          <w:szCs w:val="24"/>
        </w:rPr>
        <w:t>4</w:t>
      </w:r>
      <w:r w:rsidR="006001F5" w:rsidRPr="00376DDD">
        <w:rPr>
          <w:rFonts w:ascii="Times New Roman" w:hAnsi="Times New Roman" w:cs="Times New Roman"/>
          <w:spacing w:val="-6"/>
          <w:sz w:val="24"/>
          <w:szCs w:val="24"/>
        </w:rPr>
        <w:t>.5. Перехід права власності на Товар відбувається в момент пер</w:t>
      </w:r>
      <w:r w:rsidR="003263B1">
        <w:rPr>
          <w:rFonts w:ascii="Times New Roman" w:hAnsi="Times New Roman" w:cs="Times New Roman"/>
          <w:spacing w:val="-6"/>
          <w:sz w:val="24"/>
          <w:szCs w:val="24"/>
        </w:rPr>
        <w:t xml:space="preserve">едачі Товару в місці постачання. </w:t>
      </w:r>
      <w:r w:rsidR="006001F5" w:rsidRPr="00376DDD">
        <w:rPr>
          <w:rFonts w:ascii="Times New Roman" w:hAnsi="Times New Roman" w:cs="Times New Roman"/>
          <w:spacing w:val="-6"/>
          <w:sz w:val="24"/>
          <w:szCs w:val="24"/>
        </w:rPr>
        <w:t>Доказом передачі Товару у власність Замовника є оформлена належним чином видаткова накладна Учасника, підписана уповноваженими особами Сторін.</w:t>
      </w:r>
    </w:p>
    <w:p w14:paraId="20565094" w14:textId="77777777" w:rsidR="00552430" w:rsidRPr="00376DDD" w:rsidRDefault="00552430" w:rsidP="00376DDD">
      <w:pPr>
        <w:spacing w:line="240" w:lineRule="auto"/>
        <w:jc w:val="both"/>
        <w:rPr>
          <w:rFonts w:ascii="Times New Roman" w:eastAsia="Times New Roman" w:hAnsi="Times New Roman" w:cs="Times New Roman"/>
          <w:color w:val="222222"/>
          <w:sz w:val="24"/>
          <w:szCs w:val="24"/>
        </w:rPr>
      </w:pPr>
    </w:p>
    <w:p w14:paraId="2A5E1402" w14:textId="77777777" w:rsidR="00552430" w:rsidRDefault="00552430" w:rsidP="00376DDD">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 ЯКІСТЬ ТА ГАРАНТІЇ</w:t>
      </w:r>
    </w:p>
    <w:p w14:paraId="0793A9D3"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14:paraId="1D5F6F67" w14:textId="61D237AE"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p>
    <w:p w14:paraId="714181E1"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додатковим вимогам, зазначеним у Специфікації;</w:t>
      </w:r>
    </w:p>
    <w:p w14:paraId="79208F2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будь-яким іншим вимогам до якості продукції, які містяться у цьому Договорі та відповідному повідомленні про поставку. </w:t>
      </w:r>
    </w:p>
    <w:p w14:paraId="156B006D"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Термін придатності продукції  на момент поставки повинен становити не менше 75% терміну, визначеного виробником, або не менш як 12 (дванадцять) місяців.</w:t>
      </w:r>
    </w:p>
    <w:p w14:paraId="44FC0135"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Продукцією неналежної якості вважається продукція, яка:</w:t>
      </w:r>
    </w:p>
    <w:p w14:paraId="12C71D2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14:paraId="15A6068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була вилучена з обігу з будь-яких підстав з ініціативи виробника, в тому числі, відкликана з ринку;</w:t>
      </w:r>
    </w:p>
    <w:p w14:paraId="1D55BE4B" w14:textId="77777777" w:rsidR="00552430" w:rsidRPr="008F21A0" w:rsidRDefault="00552430" w:rsidP="00376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не відповідає вимогам, </w:t>
      </w:r>
      <w:r w:rsidRPr="008F21A0">
        <w:rPr>
          <w:rFonts w:ascii="Times New Roman" w:eastAsia="Times New Roman" w:hAnsi="Times New Roman" w:cs="Times New Roman"/>
          <w:sz w:val="24"/>
          <w:szCs w:val="24"/>
        </w:rPr>
        <w:t xml:space="preserve">встановленим </w:t>
      </w:r>
      <w:proofErr w:type="spellStart"/>
      <w:r w:rsidRPr="008F21A0">
        <w:rPr>
          <w:rFonts w:ascii="Times New Roman" w:eastAsia="Times New Roman" w:hAnsi="Times New Roman" w:cs="Times New Roman"/>
          <w:sz w:val="24"/>
          <w:szCs w:val="24"/>
        </w:rPr>
        <w:t>п.п</w:t>
      </w:r>
      <w:proofErr w:type="spellEnd"/>
      <w:r w:rsidRPr="008F21A0">
        <w:rPr>
          <w:rFonts w:ascii="Times New Roman" w:eastAsia="Times New Roman" w:hAnsi="Times New Roman" w:cs="Times New Roman"/>
          <w:sz w:val="24"/>
          <w:szCs w:val="24"/>
        </w:rPr>
        <w:t>. 5.1, 5.2 цього Договору;</w:t>
      </w:r>
    </w:p>
    <w:p w14:paraId="755617F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sidRPr="008F21A0">
        <w:rPr>
          <w:rFonts w:ascii="Times New Roman" w:eastAsia="Times New Roman" w:hAnsi="Times New Roman" w:cs="Times New Roman"/>
          <w:sz w:val="24"/>
          <w:szCs w:val="24"/>
        </w:rPr>
        <w:t xml:space="preserve">не відповідає вимогам щодо пакування та маркування </w:t>
      </w:r>
      <w:r>
        <w:rPr>
          <w:rFonts w:ascii="Times New Roman" w:eastAsia="Times New Roman" w:hAnsi="Times New Roman" w:cs="Times New Roman"/>
          <w:color w:val="222222"/>
          <w:sz w:val="24"/>
          <w:szCs w:val="24"/>
        </w:rPr>
        <w:t>продукції, передбаченим цим Договором;</w:t>
      </w:r>
    </w:p>
    <w:p w14:paraId="43ED4B4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14:paraId="37600A49"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складено негативний висновок за результатами проходження вхідного контролю якості, передбаченого п. 6.4 цього Договору;</w:t>
      </w:r>
    </w:p>
    <w:p w14:paraId="6CE1F132"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має недоліки (прихований брак, </w:t>
      </w:r>
      <w:proofErr w:type="spellStart"/>
      <w:r>
        <w:rPr>
          <w:rFonts w:ascii="Times New Roman" w:eastAsia="Times New Roman" w:hAnsi="Times New Roman" w:cs="Times New Roman"/>
          <w:color w:val="222222"/>
          <w:sz w:val="24"/>
          <w:szCs w:val="24"/>
        </w:rPr>
        <w:t>пересортиця</w:t>
      </w:r>
      <w:proofErr w:type="spellEnd"/>
      <w:r>
        <w:rPr>
          <w:rFonts w:ascii="Times New Roman" w:eastAsia="Times New Roman" w:hAnsi="Times New Roman" w:cs="Times New Roman"/>
          <w:color w:val="222222"/>
          <w:sz w:val="24"/>
          <w:szCs w:val="24"/>
        </w:rPr>
        <w:t>, фальсифікат, невідповідний термін придатності, інші дефекти чи невідповідності), що виявлені в межах двох років з дати поставки продукції;</w:t>
      </w:r>
    </w:p>
    <w:p w14:paraId="067D3ED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відповідає будь-яким іншим вимогам до якості продукції, які містяться у цьому Договорі.</w:t>
      </w:r>
    </w:p>
    <w:p w14:paraId="08F6CBFC" w14:textId="77777777" w:rsidR="00552430" w:rsidRPr="001708CA"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пошкодження та/або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за участю обох Сторін цього Договору або про розгляд </w:t>
      </w:r>
      <w:r w:rsidRPr="001708CA">
        <w:rPr>
          <w:rFonts w:ascii="Times New Roman" w:eastAsia="Times New Roman" w:hAnsi="Times New Roman" w:cs="Times New Roman"/>
          <w:color w:val="222222"/>
          <w:sz w:val="24"/>
          <w:szCs w:val="24"/>
        </w:rPr>
        <w:t xml:space="preserve">причин невідповідності без участі представника ПОСТАЧАЛЬНИКА. </w:t>
      </w:r>
    </w:p>
    <w:p w14:paraId="4554530E" w14:textId="77777777" w:rsidR="00552430" w:rsidRDefault="00552430" w:rsidP="00376DDD">
      <w:pPr>
        <w:spacing w:line="240" w:lineRule="auto"/>
        <w:jc w:val="both"/>
        <w:rPr>
          <w:rFonts w:ascii="Times New Roman" w:eastAsia="Times New Roman" w:hAnsi="Times New Roman" w:cs="Times New Roman"/>
          <w:color w:val="222222"/>
          <w:sz w:val="24"/>
          <w:szCs w:val="24"/>
        </w:rPr>
      </w:pPr>
      <w:r w:rsidRPr="001708CA">
        <w:rPr>
          <w:rFonts w:ascii="Times New Roman" w:eastAsia="Times New Roman" w:hAnsi="Times New Roman" w:cs="Times New Roman"/>
          <w:color w:val="222222"/>
          <w:sz w:val="24"/>
          <w:szCs w:val="24"/>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lastRenderedPageBreak/>
        <w:t xml:space="preserve">представника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може бути підписаний тільки ЗАМОВНИКОМ та третьою незацікавленою стороною, залученою ЗАМОВНИКОМ, у порядку, </w:t>
      </w:r>
      <w:r w:rsidRPr="001708CA">
        <w:rPr>
          <w:rFonts w:ascii="Times New Roman" w:eastAsia="Times New Roman" w:hAnsi="Times New Roman" w:cs="Times New Roman"/>
          <w:color w:val="222222"/>
          <w:sz w:val="24"/>
          <w:szCs w:val="24"/>
        </w:rPr>
        <w:t>передбаченому п. 6.4.1 цього</w:t>
      </w:r>
      <w:r>
        <w:rPr>
          <w:rFonts w:ascii="Times New Roman" w:eastAsia="Times New Roman" w:hAnsi="Times New Roman" w:cs="Times New Roman"/>
          <w:color w:val="222222"/>
          <w:sz w:val="24"/>
          <w:szCs w:val="24"/>
        </w:rPr>
        <w:t xml:space="preserve">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має юридичну силу, аналогічну до подібних двосторонніх актів, оформлених Сторонами цього Договору.</w:t>
      </w:r>
    </w:p>
    <w:p w14:paraId="6AAAC622"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4908552D" w14:textId="291646F8"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5.6. Продукція, що не підлягає подальшому використанню,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w:t>
      </w:r>
      <w:r w:rsidR="00BC1103">
        <w:rPr>
          <w:rFonts w:ascii="Times New Roman" w:eastAsia="Times New Roman" w:hAnsi="Times New Roman" w:cs="Times New Roman"/>
          <w:color w:val="222222"/>
          <w:sz w:val="24"/>
          <w:szCs w:val="24"/>
        </w:rPr>
        <w:t>виробів медичного призначення</w:t>
      </w:r>
      <w:r>
        <w:rPr>
          <w:rFonts w:ascii="Times New Roman" w:eastAsia="Times New Roman" w:hAnsi="Times New Roman" w:cs="Times New Roman"/>
          <w:color w:val="222222"/>
          <w:sz w:val="24"/>
          <w:szCs w:val="24"/>
        </w:rPr>
        <w:t>,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14:paraId="5FB88373"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4497C664" w14:textId="77777777" w:rsidR="00552430" w:rsidRDefault="00552430" w:rsidP="00376DDD">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ПРОДУКЦІЇ</w:t>
      </w:r>
    </w:p>
    <w:p w14:paraId="39DC0551"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p w14:paraId="417D34A0"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Приймання продукції здійснюється у відповідності до інструкцій та нормативних документів щодо приймання даного виду продукції.</w:t>
      </w:r>
    </w:p>
    <w:p w14:paraId="14DB78D0"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6CD94E1D"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14:paraId="17CEFC09" w14:textId="675E1E86"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14:paraId="0B2E4277"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p w14:paraId="2C6C498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відповідність технічним вимогам до даного виду продукції та вимогам нормативної документації, </w:t>
      </w:r>
    </w:p>
    <w:p w14:paraId="3F2E4643" w14:textId="65114EF6" w:rsidR="00552430" w:rsidRDefault="00552430" w:rsidP="00376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лабораторного аналізу (за наявності підстав). Вхідний контроль якості проводиться упродовж 10 (десяти) робочих днів, без урахування терміну, відведеного для </w:t>
      </w:r>
      <w:r>
        <w:rPr>
          <w:rFonts w:ascii="Times New Roman" w:eastAsia="Times New Roman" w:hAnsi="Times New Roman" w:cs="Times New Roman"/>
          <w:sz w:val="24"/>
          <w:szCs w:val="24"/>
        </w:rPr>
        <w:lastRenderedPageBreak/>
        <w:t>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лабораторного аналізу (у разі необхідності проведення за наявності підстав) тощо).</w:t>
      </w:r>
    </w:p>
    <w:p w14:paraId="54D85C0F" w14:textId="77777777" w:rsidR="00552430" w:rsidRPr="006B1D7F" w:rsidRDefault="00552430" w:rsidP="00376DDD">
      <w:pPr>
        <w:spacing w:line="240" w:lineRule="auto"/>
        <w:ind w:firstLine="567"/>
        <w:jc w:val="both"/>
        <w:rPr>
          <w:rFonts w:ascii="Times New Roman" w:eastAsia="Times New Roman" w:hAnsi="Times New Roman" w:cs="Times New Roman"/>
          <w:color w:val="222222"/>
          <w:sz w:val="24"/>
          <w:szCs w:val="24"/>
        </w:rPr>
      </w:pPr>
      <w:r w:rsidRPr="006B1D7F">
        <w:rPr>
          <w:rFonts w:ascii="Times New Roman" w:eastAsia="Times New Roman" w:hAnsi="Times New Roman" w:cs="Times New Roman"/>
          <w:color w:val="222222"/>
          <w:sz w:val="24"/>
          <w:szCs w:val="24"/>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14:paraId="2AF3BB1C" w14:textId="640F3178" w:rsidR="00552430" w:rsidRPr="006B1D7F" w:rsidRDefault="00552430" w:rsidP="00376DDD">
      <w:pPr>
        <w:spacing w:line="240" w:lineRule="auto"/>
        <w:ind w:firstLine="567"/>
        <w:jc w:val="both"/>
        <w:rPr>
          <w:rFonts w:ascii="Times New Roman" w:eastAsia="Times New Roman" w:hAnsi="Times New Roman" w:cs="Times New Roman"/>
          <w:color w:val="222222"/>
          <w:sz w:val="24"/>
          <w:szCs w:val="24"/>
        </w:rPr>
      </w:pPr>
      <w:r w:rsidRPr="006B1D7F">
        <w:rPr>
          <w:rFonts w:ascii="Times New Roman" w:eastAsia="Times New Roman" w:hAnsi="Times New Roman" w:cs="Times New Roman"/>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що підтверджує перехід права власності на продукцію від ПОСТАЧАЛЬНИКА до ЗАМОВНИКА, та повертає належні екземпляри ПОСТАЧАЛЬНИКУ.</w:t>
      </w:r>
    </w:p>
    <w:p w14:paraId="234BE39D"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подання претензії здійснюється ЗАМОВНИКОМ без присутності представника ПОСТАЧАЛЬНИКА.</w:t>
      </w:r>
    </w:p>
    <w:p w14:paraId="764A8FA2" w14:textId="77777777" w:rsidR="00552430" w:rsidRDefault="00552430" w:rsidP="00376DDD">
      <w:pPr>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4"/>
          <w:szCs w:val="24"/>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лабораторного аналізу, з огляду на це, у випадку виявлення підстав для проведення лабораторного аналізу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методів контролю якості, затверджених рішенням про державну реєстрацію продукції, що постачається.</w:t>
      </w:r>
    </w:p>
    <w:p w14:paraId="25752A9F"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6.4.5. Забезпечення проведення вхідного контролю якості, у тому числі із проведенням лабораторного аналізу (без урахування вартості зразків продукції, а також стандартів, реактивів, реагентів, специфічного обладнання тощо, необхідних для проведення такого аналізу) покладається на ЗАМОВНИКА.</w:t>
      </w:r>
    </w:p>
    <w:p w14:paraId="1AF0D77A"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6.4.6. У разі проведення лабораторного аналізу зразки серій продукції, що підлягають проведенню такого аналізу,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rFonts w:ascii="Times New Roman" w:eastAsia="Times New Roman" w:hAnsi="Times New Roman" w:cs="Times New Roman"/>
          <w:sz w:val="24"/>
          <w:szCs w:val="24"/>
        </w:rPr>
        <w:t xml:space="preserve"> застосовуються положення розділу 7 цього Договору.</w:t>
      </w:r>
    </w:p>
    <w:p w14:paraId="6F3A2DFE" w14:textId="3384E51B"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6.4.7. Вартість відібраних зразків продукції для проведення лабораторного аналізу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відібраної для проведення лабораторного аналізу,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w:t>
      </w:r>
    </w:p>
    <w:p w14:paraId="695FFCC1"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4F7CB055"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6.4.9. У разі отримання за результатами вхідного контролю якості, передбаченого п. 6.4 цього Договору, </w:t>
      </w:r>
      <w:r>
        <w:rPr>
          <w:rFonts w:ascii="Times New Roman" w:eastAsia="Times New Roman" w:hAnsi="Times New Roman" w:cs="Times New Roman"/>
          <w:color w:val="3C4043"/>
          <w:sz w:val="24"/>
          <w:szCs w:val="24"/>
        </w:rPr>
        <w:t xml:space="preserve">висновку, що свідчить про недотримання ПОСТАЧАЛЬНИКОМ вимог законодавства </w:t>
      </w:r>
      <w:r>
        <w:rPr>
          <w:rFonts w:ascii="Times New Roman" w:eastAsia="Times New Roman" w:hAnsi="Times New Roman" w:cs="Times New Roman"/>
          <w:color w:val="3C4043"/>
          <w:sz w:val="24"/>
          <w:szCs w:val="24"/>
        </w:rPr>
        <w:lastRenderedPageBreak/>
        <w:t>щодо забезпечення якості</w:t>
      </w:r>
      <w:r>
        <w:rPr>
          <w:rFonts w:ascii="Times New Roman" w:eastAsia="Times New Roman" w:hAnsi="Times New Roman" w:cs="Times New Roman"/>
          <w:color w:val="3C4043"/>
          <w:sz w:val="25"/>
          <w:szCs w:val="25"/>
        </w:rPr>
        <w:t xml:space="preserve"> </w:t>
      </w:r>
      <w:r>
        <w:rPr>
          <w:rFonts w:ascii="Times New Roman" w:eastAsia="Times New Roman" w:hAnsi="Times New Roman" w:cs="Times New Roman"/>
          <w:color w:val="222222"/>
          <w:sz w:val="24"/>
          <w:szCs w:val="24"/>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Pr>
          <w:rFonts w:ascii="Times New Roman" w:eastAsia="Times New Roman" w:hAnsi="Times New Roman" w:cs="Times New Roman"/>
          <w:sz w:val="24"/>
          <w:szCs w:val="24"/>
        </w:rPr>
        <w:t>у разі його проведення за наявності підстав)</w:t>
      </w:r>
      <w:r>
        <w:rPr>
          <w:rFonts w:ascii="Times New Roman" w:eastAsia="Times New Roman" w:hAnsi="Times New Roman" w:cs="Times New Roman"/>
          <w:color w:val="222222"/>
          <w:sz w:val="24"/>
          <w:szCs w:val="24"/>
        </w:rPr>
        <w:t>.</w:t>
      </w:r>
    </w:p>
    <w:p w14:paraId="04AE081E"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sz w:val="24"/>
          <w:szCs w:val="24"/>
        </w:rPr>
        <w:t>п.п</w:t>
      </w:r>
      <w:proofErr w:type="spellEnd"/>
      <w:r>
        <w:rPr>
          <w:rFonts w:ascii="Times New Roman" w:eastAsia="Times New Roman" w:hAnsi="Times New Roman" w:cs="Times New Roman"/>
          <w:color w:val="222222"/>
          <w:sz w:val="24"/>
          <w:szCs w:val="24"/>
        </w:rPr>
        <w:t xml:space="preserve">. 6.1, 6.3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6.4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p w14:paraId="1DEB2B34"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14:paraId="328F782D" w14:textId="20B640E8"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Разом з продукцією ПОСТАЧАЛЬНИК надає ЗАМОВНИКУ (його пр</w:t>
      </w:r>
      <w:r w:rsidR="00255D59">
        <w:rPr>
          <w:rFonts w:ascii="Times New Roman" w:eastAsia="Times New Roman" w:hAnsi="Times New Roman" w:cs="Times New Roman"/>
          <w:color w:val="222222"/>
          <w:sz w:val="24"/>
          <w:szCs w:val="24"/>
        </w:rPr>
        <w:t>едставнику) наступні документи:</w:t>
      </w:r>
    </w:p>
    <w:p w14:paraId="72E3A61F" w14:textId="0AE4D5A8" w:rsidR="00552430" w:rsidRDefault="00552430" w:rsidP="00376DDD">
      <w:pPr>
        <w:numPr>
          <w:ilvl w:val="0"/>
          <w:numId w:val="13"/>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оригінал видаткової накладної у 2 </w:t>
      </w:r>
      <w:proofErr w:type="spellStart"/>
      <w:r>
        <w:rPr>
          <w:rFonts w:ascii="Times New Roman" w:eastAsia="Times New Roman" w:hAnsi="Times New Roman" w:cs="Times New Roman"/>
          <w:color w:val="222222"/>
          <w:sz w:val="24"/>
          <w:szCs w:val="24"/>
        </w:rPr>
        <w:t>екз</w:t>
      </w:r>
      <w:proofErr w:type="spellEnd"/>
      <w:r>
        <w:rPr>
          <w:rFonts w:ascii="Times New Roman" w:eastAsia="Times New Roman" w:hAnsi="Times New Roman" w:cs="Times New Roman"/>
          <w:color w:val="222222"/>
          <w:sz w:val="24"/>
          <w:szCs w:val="24"/>
        </w:rPr>
        <w:t>.;</w:t>
      </w:r>
    </w:p>
    <w:p w14:paraId="2DE3DE54" w14:textId="77777777" w:rsidR="00552430" w:rsidRDefault="00552430" w:rsidP="00376DDD">
      <w:pPr>
        <w:numPr>
          <w:ilvl w:val="0"/>
          <w:numId w:val="8"/>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p w14:paraId="1CA82B2D" w14:textId="77777777" w:rsidR="00552430" w:rsidRDefault="00552430" w:rsidP="00376DDD">
      <w:pPr>
        <w:numPr>
          <w:ilvl w:val="0"/>
          <w:numId w:val="6"/>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p w14:paraId="12778D0F" w14:textId="77777777" w:rsidR="00552430" w:rsidRDefault="00552430" w:rsidP="00376DDD">
      <w:pPr>
        <w:numPr>
          <w:ilvl w:val="0"/>
          <w:numId w:val="11"/>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пакувального листа, що описує вміст кожної коробки ;</w:t>
      </w:r>
    </w:p>
    <w:p w14:paraId="1D69F5CE" w14:textId="77777777" w:rsidR="00552430" w:rsidRDefault="00552430" w:rsidP="00376DDD">
      <w:pPr>
        <w:numPr>
          <w:ilvl w:val="0"/>
          <w:numId w:val="4"/>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свідоцтва про походження від виробника, яке охоплює всі одиниці продукції, що постачається;</w:t>
      </w:r>
    </w:p>
    <w:p w14:paraId="138ABD9C" w14:textId="51AA778F" w:rsidR="00552430" w:rsidRPr="00F6158D" w:rsidRDefault="00552430" w:rsidP="00376DDD">
      <w:pPr>
        <w:numPr>
          <w:ilvl w:val="0"/>
          <w:numId w:val="2"/>
        </w:numPr>
        <w:spacing w:line="240" w:lineRule="auto"/>
        <w:ind w:left="426"/>
        <w:jc w:val="both"/>
        <w:rPr>
          <w:rFonts w:ascii="Times New Roman" w:eastAsia="Times New Roman" w:hAnsi="Times New Roman" w:cs="Times New Roman"/>
          <w:color w:val="222222"/>
          <w:sz w:val="24"/>
          <w:szCs w:val="24"/>
        </w:rPr>
      </w:pPr>
      <w:r w:rsidRPr="00F6158D">
        <w:rPr>
          <w:rFonts w:ascii="Times New Roman" w:eastAsia="Times New Roman" w:hAnsi="Times New Roman" w:cs="Times New Roman"/>
          <w:sz w:val="24"/>
          <w:szCs w:val="24"/>
        </w:rPr>
        <w:t>завірені належним чином копії чинних сертифікатів</w:t>
      </w:r>
      <w:r w:rsidRPr="00F6158D">
        <w:rPr>
          <w:rFonts w:ascii="Times New Roman" w:eastAsia="Times New Roman" w:hAnsi="Times New Roman" w:cs="Times New Roman"/>
        </w:rPr>
        <w:t xml:space="preserve"> </w:t>
      </w:r>
      <w:r w:rsidRPr="00F6158D">
        <w:rPr>
          <w:rFonts w:ascii="Times New Roman" w:eastAsia="Times New Roman" w:hAnsi="Times New Roman" w:cs="Times New Roman"/>
          <w:sz w:val="24"/>
          <w:szCs w:val="24"/>
        </w:rPr>
        <w:t xml:space="preserve">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w:t>
      </w:r>
      <w:r w:rsidR="00BC1103" w:rsidRPr="00F6158D">
        <w:rPr>
          <w:rFonts w:ascii="Times New Roman" w:eastAsia="Times New Roman" w:hAnsi="Times New Roman" w:cs="Times New Roman"/>
          <w:sz w:val="24"/>
          <w:szCs w:val="24"/>
        </w:rPr>
        <w:t>уповноваженим органом</w:t>
      </w:r>
      <w:r w:rsidRPr="00F6158D">
        <w:rPr>
          <w:rFonts w:ascii="Times New Roman" w:eastAsia="Times New Roman" w:hAnsi="Times New Roman" w:cs="Times New Roman"/>
          <w:sz w:val="24"/>
          <w:szCs w:val="24"/>
        </w:rPr>
        <w:t>, що підтверджує відповідність умов виробництва продукції вимогам до виробництва продукції в Україні</w:t>
      </w:r>
      <w:r w:rsidRPr="00F6158D">
        <w:rPr>
          <w:rFonts w:ascii="Times New Roman" w:eastAsia="Times New Roman" w:hAnsi="Times New Roman" w:cs="Times New Roman"/>
          <w:color w:val="222222"/>
          <w:sz w:val="24"/>
          <w:szCs w:val="24"/>
        </w:rPr>
        <w:t>;</w:t>
      </w:r>
    </w:p>
    <w:p w14:paraId="1CB9942A" w14:textId="77777777" w:rsidR="00552430" w:rsidRPr="00F6158D" w:rsidRDefault="00552430" w:rsidP="00376DDD">
      <w:pPr>
        <w:numPr>
          <w:ilvl w:val="0"/>
          <w:numId w:val="1"/>
        </w:numPr>
        <w:spacing w:line="240" w:lineRule="auto"/>
        <w:ind w:left="426"/>
        <w:jc w:val="both"/>
        <w:rPr>
          <w:rFonts w:ascii="Times New Roman" w:eastAsia="Times New Roman" w:hAnsi="Times New Roman" w:cs="Times New Roman"/>
          <w:color w:val="222222"/>
          <w:sz w:val="24"/>
          <w:szCs w:val="24"/>
        </w:rPr>
      </w:pPr>
      <w:r w:rsidRPr="00F6158D">
        <w:rPr>
          <w:rFonts w:ascii="Times New Roman" w:eastAsia="Times New Roman" w:hAnsi="Times New Roman" w:cs="Times New Roman"/>
          <w:color w:val="222222"/>
          <w:sz w:val="24"/>
          <w:szCs w:val="24"/>
        </w:rPr>
        <w:t>копії реєстраційних посвідчень, які видаються Міністерством охорони здоров’я України для кожного виду продукції, що постачається;</w:t>
      </w:r>
    </w:p>
    <w:p w14:paraId="434B8376" w14:textId="77777777" w:rsidR="00552430" w:rsidRDefault="00552430" w:rsidP="00376DDD">
      <w:pPr>
        <w:numPr>
          <w:ilvl w:val="0"/>
          <w:numId w:val="5"/>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завірену належним чином </w:t>
      </w:r>
      <w:r>
        <w:rPr>
          <w:rFonts w:ascii="Times New Roman" w:eastAsia="Times New Roman" w:hAnsi="Times New Roman" w:cs="Times New Roman"/>
          <w:color w:val="222222"/>
          <w:sz w:val="24"/>
          <w:szCs w:val="24"/>
        </w:rPr>
        <w:t>копію інструкції для медичного застосування продукції, затверджену Міністерством охорони здоров’я України;</w:t>
      </w:r>
    </w:p>
    <w:p w14:paraId="52981B98" w14:textId="77777777" w:rsidR="00552430" w:rsidRDefault="00552430" w:rsidP="00376DDD">
      <w:pPr>
        <w:numPr>
          <w:ilvl w:val="0"/>
          <w:numId w:val="3"/>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усі інші документи, які згадуються у будь-якому пункті цього Договору. </w:t>
      </w:r>
    </w:p>
    <w:p w14:paraId="0D596912" w14:textId="500F558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w:t>
      </w:r>
      <w:r>
        <w:rPr>
          <w:rFonts w:ascii="Times New Roman" w:eastAsia="Times New Roman" w:hAnsi="Times New Roman" w:cs="Times New Roman"/>
          <w:color w:val="222222"/>
          <w:sz w:val="24"/>
          <w:szCs w:val="24"/>
        </w:rPr>
        <w:lastRenderedPageBreak/>
        <w:t xml:space="preserve">(три) робочих дні від дня фактичної поставки продукції, відмовитись від прийняття продукції в порядку, визначеному п. 6.5. цього Договору. </w:t>
      </w:r>
    </w:p>
    <w:p w14:paraId="3A208B51"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0D8D699C"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ВІДПОВІДАЛЬНІСТЬ СТОРІН ЗА ПОРУШЕННЯ УМОВ ДОГОВОРУ</w:t>
      </w:r>
    </w:p>
    <w:p w14:paraId="36E8537D"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14:paraId="35E4A356"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7BC0846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7.2. У разі порушення строку поставки, </w:t>
      </w:r>
      <w:proofErr w:type="spellStart"/>
      <w:r>
        <w:rPr>
          <w:rFonts w:ascii="Times New Roman" w:eastAsia="Times New Roman" w:hAnsi="Times New Roman" w:cs="Times New Roman"/>
          <w:color w:val="222222"/>
          <w:sz w:val="24"/>
          <w:szCs w:val="24"/>
        </w:rPr>
        <w:t>непередачу</w:t>
      </w:r>
      <w:proofErr w:type="spellEnd"/>
      <w:r>
        <w:rPr>
          <w:rFonts w:ascii="Times New Roman" w:eastAsia="Times New Roman" w:hAnsi="Times New Roman" w:cs="Times New Roman"/>
          <w:color w:val="222222"/>
          <w:sz w:val="24"/>
          <w:szCs w:val="24"/>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Pr>
          <w:rFonts w:ascii="Times New Roman" w:eastAsia="Times New Roman" w:hAnsi="Times New Roman" w:cs="Times New Roman"/>
          <w:sz w:val="24"/>
          <w:szCs w:val="24"/>
        </w:rPr>
        <w:t>.</w:t>
      </w:r>
    </w:p>
    <w:p w14:paraId="1227C79C" w14:textId="0172197C" w:rsidR="00552430" w:rsidRPr="00255D59"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7.3. У разі порушення строків поставки, </w:t>
      </w:r>
      <w:proofErr w:type="spellStart"/>
      <w:r>
        <w:rPr>
          <w:rFonts w:ascii="Times New Roman" w:eastAsia="Times New Roman" w:hAnsi="Times New Roman" w:cs="Times New Roman"/>
          <w:color w:val="222222"/>
          <w:sz w:val="24"/>
          <w:szCs w:val="24"/>
        </w:rPr>
        <w:t>непередачі</w:t>
      </w:r>
      <w:proofErr w:type="spellEnd"/>
      <w:r>
        <w:rPr>
          <w:rFonts w:ascii="Times New Roman" w:eastAsia="Times New Roman" w:hAnsi="Times New Roman" w:cs="Times New Roman"/>
          <w:color w:val="222222"/>
          <w:sz w:val="24"/>
          <w:szCs w:val="24"/>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sz w:val="24"/>
          <w:szCs w:val="24"/>
        </w:rPr>
        <w:t>непередачею</w:t>
      </w:r>
      <w:proofErr w:type="spellEnd"/>
      <w:r>
        <w:rPr>
          <w:rFonts w:ascii="Times New Roman" w:eastAsia="Times New Roman" w:hAnsi="Times New Roman" w:cs="Times New Roman"/>
          <w:color w:val="222222"/>
          <w:sz w:val="24"/>
          <w:szCs w:val="24"/>
        </w:rPr>
        <w:t xml:space="preserve"> (не</w:t>
      </w:r>
      <w:r w:rsidR="006B1D7F">
        <w:rPr>
          <w:rFonts w:ascii="Times New Roman" w:eastAsia="Times New Roman" w:hAnsi="Times New Roman" w:cs="Times New Roman"/>
          <w:color w:val="222222"/>
          <w:sz w:val="24"/>
          <w:szCs w:val="24"/>
        </w:rPr>
        <w:t>своєчасною передачею) продукції</w:t>
      </w:r>
      <w:r w:rsidRPr="00255D59">
        <w:rPr>
          <w:rFonts w:ascii="Times New Roman" w:eastAsia="Times New Roman" w:hAnsi="Times New Roman" w:cs="Times New Roman"/>
          <w:color w:val="222222"/>
          <w:sz w:val="24"/>
          <w:szCs w:val="24"/>
        </w:rPr>
        <w:t>.</w:t>
      </w:r>
    </w:p>
    <w:p w14:paraId="6A54A616" w14:textId="77777777" w:rsidR="00552430" w:rsidRPr="00255D59" w:rsidRDefault="00552430" w:rsidP="00376DDD">
      <w:pPr>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p w14:paraId="2E60B7F4" w14:textId="77777777" w:rsidR="00552430" w:rsidRPr="00255D59" w:rsidRDefault="00552430" w:rsidP="00376DDD">
      <w:pPr>
        <w:spacing w:line="240" w:lineRule="auto"/>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14:paraId="2827BBE8"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7.4.1. У випадках, передбачених </w:t>
      </w:r>
      <w:proofErr w:type="spellStart"/>
      <w:r w:rsidRPr="00255D59">
        <w:rPr>
          <w:rFonts w:ascii="Times New Roman" w:eastAsia="Times New Roman" w:hAnsi="Times New Roman" w:cs="Times New Roman"/>
          <w:color w:val="222222"/>
          <w:sz w:val="24"/>
          <w:szCs w:val="24"/>
        </w:rPr>
        <w:t>пп</w:t>
      </w:r>
      <w:proofErr w:type="spellEnd"/>
      <w:r w:rsidRPr="00255D59">
        <w:rPr>
          <w:rFonts w:ascii="Times New Roman" w:eastAsia="Times New Roman" w:hAnsi="Times New Roman" w:cs="Times New Roman"/>
          <w:color w:val="222222"/>
          <w:sz w:val="24"/>
          <w:szCs w:val="24"/>
        </w:rPr>
        <w:t xml:space="preserve">. 7.2, 7.3 (у </w:t>
      </w:r>
      <w:proofErr w:type="spellStart"/>
      <w:r w:rsidRPr="00255D59">
        <w:rPr>
          <w:rFonts w:ascii="Times New Roman" w:eastAsia="Times New Roman" w:hAnsi="Times New Roman" w:cs="Times New Roman"/>
          <w:color w:val="222222"/>
          <w:sz w:val="24"/>
          <w:szCs w:val="24"/>
        </w:rPr>
        <w:t>т.ч</w:t>
      </w:r>
      <w:proofErr w:type="spellEnd"/>
      <w:r w:rsidRPr="00255D59">
        <w:rPr>
          <w:rFonts w:ascii="Times New Roman" w:eastAsia="Times New Roman" w:hAnsi="Times New Roman" w:cs="Times New Roman"/>
          <w:color w:val="222222"/>
          <w:sz w:val="24"/>
          <w:szCs w:val="24"/>
        </w:rPr>
        <w:t>. 7.3.1) цього Договору, ЗАМОВНИК</w:t>
      </w:r>
      <w:r>
        <w:rPr>
          <w:rFonts w:ascii="Times New Roman" w:eastAsia="Times New Roman" w:hAnsi="Times New Roman" w:cs="Times New Roman"/>
          <w:color w:val="222222"/>
          <w:sz w:val="24"/>
          <w:szCs w:val="24"/>
        </w:rPr>
        <w:t xml:space="preserve"> може зменшити суму </w:t>
      </w:r>
      <w:proofErr w:type="spellStart"/>
      <w:r>
        <w:rPr>
          <w:rFonts w:ascii="Times New Roman" w:eastAsia="Times New Roman" w:hAnsi="Times New Roman" w:cs="Times New Roman"/>
          <w:color w:val="222222"/>
          <w:sz w:val="24"/>
          <w:szCs w:val="24"/>
        </w:rPr>
        <w:t>оплат</w:t>
      </w:r>
      <w:proofErr w:type="spellEnd"/>
      <w:r>
        <w:rPr>
          <w:rFonts w:ascii="Times New Roman" w:eastAsia="Times New Roman" w:hAnsi="Times New Roman" w:cs="Times New Roman"/>
          <w:color w:val="222222"/>
          <w:sz w:val="24"/>
          <w:szCs w:val="24"/>
        </w:rPr>
        <w:t xml:space="preserve"> ПОСТАЧАЛЬНИКУ на суму пені та/або штрафу.</w:t>
      </w:r>
    </w:p>
    <w:p w14:paraId="40B00DD1" w14:textId="77777777" w:rsidR="00E4071C" w:rsidRDefault="00E4071C" w:rsidP="00376DDD">
      <w:pPr>
        <w:spacing w:line="240" w:lineRule="auto"/>
        <w:jc w:val="center"/>
        <w:rPr>
          <w:rFonts w:ascii="Times New Roman" w:eastAsia="Times New Roman" w:hAnsi="Times New Roman" w:cs="Times New Roman"/>
          <w:b/>
          <w:color w:val="222222"/>
          <w:sz w:val="24"/>
          <w:szCs w:val="24"/>
        </w:rPr>
      </w:pPr>
    </w:p>
    <w:p w14:paraId="6A38BC4A" w14:textId="6527BDFA"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ВИРІШЕННЯ СПОРІВ</w:t>
      </w:r>
    </w:p>
    <w:p w14:paraId="48CE6E71" w14:textId="3D0ED747" w:rsidR="00552430" w:rsidRDefault="00552430" w:rsidP="00376DDD">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8.1. Усі спори, що виникають з цього Договору або пов'язані із ним, вирішуються шляхом переговорів між Сторонами.</w:t>
      </w:r>
    </w:p>
    <w:p w14:paraId="326FB9C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03378B4C"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04E7A154"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ОБСТАВИНИ НЕПЕРЕБОРНОЇ СИЛИ</w:t>
      </w:r>
    </w:p>
    <w:p w14:paraId="2F23C4BE"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79997FD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w:t>
      </w:r>
      <w:r>
        <w:rPr>
          <w:rFonts w:ascii="Times New Roman" w:eastAsia="Times New Roman" w:hAnsi="Times New Roman" w:cs="Times New Roman"/>
          <w:color w:val="222222"/>
          <w:sz w:val="24"/>
          <w:szCs w:val="24"/>
        </w:rPr>
        <w:lastRenderedPageBreak/>
        <w:t xml:space="preserve">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sz w:val="24"/>
          <w:szCs w:val="24"/>
        </w:rPr>
        <w:t>надасть</w:t>
      </w:r>
      <w:proofErr w:type="spellEnd"/>
      <w:r>
        <w:rPr>
          <w:rFonts w:ascii="Times New Roman" w:eastAsia="Times New Roman" w:hAnsi="Times New Roman" w:cs="Times New Roman"/>
          <w:color w:val="222222"/>
          <w:sz w:val="24"/>
          <w:szCs w:val="24"/>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57C69BFC" w14:textId="16146F02" w:rsidR="00552430" w:rsidRDefault="00E4071C"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9.3. </w:t>
      </w:r>
      <w:r w:rsidR="00552430">
        <w:rPr>
          <w:rFonts w:ascii="Times New Roman" w:eastAsia="Times New Roman" w:hAnsi="Times New Roman" w:cs="Times New Roman"/>
          <w:color w:val="222222"/>
          <w:sz w:val="24"/>
          <w:szCs w:val="24"/>
        </w:rPr>
        <w:t xml:space="preserve">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250E8114"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993E35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98619F7"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489ECE87"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АНТИКОРУПЦІЙНІ ЗАСТЕРЕЖЕННЯ</w:t>
      </w:r>
    </w:p>
    <w:p w14:paraId="5657D619" w14:textId="77777777" w:rsidR="00552430" w:rsidRDefault="00552430" w:rsidP="00376DDD">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BD56ED" w14:textId="77777777" w:rsidR="00552430" w:rsidRDefault="00552430" w:rsidP="00376DDD">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4BC6D68" w14:textId="77777777" w:rsidR="00552430" w:rsidRDefault="00552430" w:rsidP="00376DDD">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BBE082C" w14:textId="77777777" w:rsidR="00552430" w:rsidRDefault="00552430" w:rsidP="00376DDD">
      <w:pPr>
        <w:widowControl w:val="0"/>
        <w:tabs>
          <w:tab w:val="left" w:pos="851"/>
          <w:tab w:val="left" w:pos="1843"/>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44C6537" w14:textId="28F3602B" w:rsidR="00552430" w:rsidRDefault="00552430" w:rsidP="00376DDD">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E4071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у письмовій формі.</w:t>
      </w:r>
    </w:p>
    <w:p w14:paraId="01D3B1A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153B9E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410738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w:t>
      </w:r>
      <w:r>
        <w:rPr>
          <w:rFonts w:ascii="Times New Roman" w:eastAsia="Times New Roman" w:hAnsi="Times New Roman" w:cs="Times New Roman"/>
          <w:color w:val="222222"/>
          <w:sz w:val="24"/>
          <w:szCs w:val="24"/>
        </w:rPr>
        <w:lastRenderedPageBreak/>
        <w:t>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62D800D"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діями працівника, що здійснюються на користь стимулюючої Сторони, розуміються:</w:t>
      </w:r>
    </w:p>
    <w:p w14:paraId="0A964393" w14:textId="77777777" w:rsidR="00552430" w:rsidRDefault="00552430" w:rsidP="00376DDD">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надання невиправданих переваг у порівнянні з іншими сторонами; надання будь-яких гарантій;</w:t>
      </w:r>
    </w:p>
    <w:p w14:paraId="5ACB570E" w14:textId="77777777" w:rsidR="00552430" w:rsidRDefault="00552430" w:rsidP="00376DDD">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прискорення існуючих процедур;</w:t>
      </w:r>
    </w:p>
    <w:p w14:paraId="7C71CBFA" w14:textId="77777777" w:rsidR="00552430" w:rsidRDefault="00552430" w:rsidP="00376DDD">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7CB6FED"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14:paraId="663B8707"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1A557E6"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8B1B5BE"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D314F32" w14:textId="77777777" w:rsidR="00552430" w:rsidRDefault="00552430" w:rsidP="00376DDD">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222222"/>
          <w:sz w:val="24"/>
          <w:szCs w:val="24"/>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7DAA1314"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sz w:val="24"/>
          <w:szCs w:val="24"/>
        </w:rPr>
        <w:t>зв'язків</w:t>
      </w:r>
      <w:proofErr w:type="spellEnd"/>
      <w:r>
        <w:rPr>
          <w:rFonts w:ascii="Times New Roman" w:eastAsia="Times New Roman" w:hAnsi="Times New Roman" w:cs="Times New Roman"/>
          <w:color w:val="222222"/>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00AAEB44"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38105311" w14:textId="77777777" w:rsidR="00552430" w:rsidRDefault="00552430" w:rsidP="00376DD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ЗДІЙСНЕННЯ ПОВІДОМЛЕННЯ СТОРІН</w:t>
      </w:r>
    </w:p>
    <w:p w14:paraId="33D3FE47" w14:textId="77777777" w:rsidR="00552430" w:rsidRDefault="00552430" w:rsidP="00376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w:t>
      </w:r>
      <w:r>
        <w:rPr>
          <w:rFonts w:ascii="Times New Roman" w:eastAsia="Times New Roman" w:hAnsi="Times New Roman" w:cs="Times New Roman"/>
          <w:sz w:val="24"/>
          <w:szCs w:val="24"/>
        </w:rPr>
        <w:t xml:space="preserve">. Всі інші повідомлення в межах цього Договору здійснюються в письмовій формі </w:t>
      </w:r>
      <w:r>
        <w:rPr>
          <w:rFonts w:ascii="Times New Roman" w:eastAsia="Times New Roman" w:hAnsi="Times New Roman" w:cs="Times New Roman"/>
          <w:color w:val="222222"/>
          <w:sz w:val="24"/>
          <w:szCs w:val="24"/>
        </w:rPr>
        <w:t>шляхом передачі поштовим зв’язком (рекомендованим листом).</w:t>
      </w:r>
    </w:p>
    <w:p w14:paraId="22AA4CC1" w14:textId="77777777" w:rsidR="00552430" w:rsidRDefault="00E0651C" w:rsidP="00376DDD">
      <w:pPr>
        <w:spacing w:line="240" w:lineRule="auto"/>
        <w:jc w:val="both"/>
        <w:rPr>
          <w:rFonts w:ascii="Times New Roman" w:eastAsia="Times New Roman" w:hAnsi="Times New Roman" w:cs="Times New Roman"/>
          <w:color w:val="222222"/>
          <w:sz w:val="24"/>
          <w:szCs w:val="24"/>
        </w:rPr>
      </w:pPr>
      <w:sdt>
        <w:sdtPr>
          <w:tag w:val="goog_rdk_0"/>
          <w:id w:val="-1701784023"/>
        </w:sdtPr>
        <w:sdtEndPr/>
        <w:sdtContent/>
      </w:sdt>
      <w:r w:rsidR="00552430">
        <w:rPr>
          <w:rFonts w:ascii="Times New Roman" w:eastAsia="Times New Roman" w:hAnsi="Times New Roman" w:cs="Times New Roman"/>
          <w:color w:val="222222"/>
          <w:sz w:val="24"/>
          <w:szCs w:val="24"/>
        </w:rPr>
        <w:t>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w:t>
      </w:r>
    </w:p>
    <w:p w14:paraId="7A4F45C7" w14:textId="77777777" w:rsidR="00552430" w:rsidRDefault="00552430" w:rsidP="00376DDD">
      <w:pPr>
        <w:spacing w:line="240" w:lineRule="auto"/>
        <w:ind w:firstLine="709"/>
        <w:jc w:val="both"/>
        <w:rPr>
          <w:rFonts w:ascii="Times New Roman" w:eastAsia="Times New Roman" w:hAnsi="Times New Roman" w:cs="Times New Roman"/>
          <w:color w:val="222222"/>
          <w:sz w:val="24"/>
          <w:szCs w:val="24"/>
        </w:rPr>
      </w:pPr>
    </w:p>
    <w:p w14:paraId="4E34CFF0" w14:textId="77777777" w:rsidR="00552430" w:rsidRDefault="00E0651C" w:rsidP="00376DDD">
      <w:pPr>
        <w:spacing w:line="240" w:lineRule="auto"/>
        <w:jc w:val="both"/>
        <w:rPr>
          <w:rFonts w:ascii="Times New Roman" w:eastAsia="Times New Roman" w:hAnsi="Times New Roman" w:cs="Times New Roman"/>
          <w:color w:val="222222"/>
          <w:sz w:val="24"/>
          <w:szCs w:val="24"/>
        </w:rPr>
      </w:pPr>
      <w:sdt>
        <w:sdtPr>
          <w:tag w:val="goog_rdk_1"/>
          <w:id w:val="1251624308"/>
        </w:sdtPr>
        <w:sdtEndPr/>
        <w:sdtContent/>
      </w:sdt>
      <w:r w:rsidR="00552430">
        <w:rPr>
          <w:rFonts w:ascii="Times New Roman" w:eastAsia="Times New Roman" w:hAnsi="Times New Roman" w:cs="Times New Roman"/>
          <w:color w:val="222222"/>
          <w:sz w:val="24"/>
          <w:szCs w:val="24"/>
        </w:rPr>
        <w:t>від ЗАМОВНИКА: __________;</w:t>
      </w:r>
    </w:p>
    <w:p w14:paraId="5B1A12B6"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p>
    <w:p w14:paraId="124CB8DF" w14:textId="77777777" w:rsidR="00552430" w:rsidRDefault="00E0651C" w:rsidP="00376DDD">
      <w:pPr>
        <w:spacing w:line="240" w:lineRule="auto"/>
        <w:jc w:val="both"/>
        <w:rPr>
          <w:rFonts w:ascii="Times New Roman" w:eastAsia="Times New Roman" w:hAnsi="Times New Roman" w:cs="Times New Roman"/>
          <w:color w:val="222222"/>
          <w:sz w:val="24"/>
          <w:szCs w:val="24"/>
        </w:rPr>
      </w:pPr>
      <w:sdt>
        <w:sdtPr>
          <w:tag w:val="goog_rdk_2"/>
          <w:id w:val="752937966"/>
        </w:sdtPr>
        <w:sdtEndPr/>
        <w:sdtContent/>
      </w:sdt>
      <w:r w:rsidR="00552430">
        <w:rPr>
          <w:rFonts w:ascii="Times New Roman" w:eastAsia="Times New Roman" w:hAnsi="Times New Roman" w:cs="Times New Roman"/>
          <w:color w:val="222222"/>
          <w:sz w:val="24"/>
          <w:szCs w:val="24"/>
        </w:rPr>
        <w:t>від ПОСТАЧАЛЬНИКА: __________.</w:t>
      </w:r>
    </w:p>
    <w:p w14:paraId="245CF3F1"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1D072F7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14:paraId="37B54DBD"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p>
    <w:p w14:paraId="41740D26"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ЗАМОВНИКА: __________.</w:t>
      </w:r>
    </w:p>
    <w:p w14:paraId="1C293B35"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74D10FE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ПОСТАЧАЛЬНИКА: __________.</w:t>
      </w:r>
    </w:p>
    <w:p w14:paraId="510C0159"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549C9BC8"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ДІЯ ДОГОВОРУ</w:t>
      </w:r>
    </w:p>
    <w:p w14:paraId="46CFD3DC" w14:textId="5634B6B7" w:rsidR="00BC69CE"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12.1. Цей Договір вважається укладеним і набирає чинності </w:t>
      </w:r>
      <w:r w:rsidR="00BC69CE">
        <w:rPr>
          <w:rFonts w:ascii="Times New Roman" w:eastAsia="Times New Roman" w:hAnsi="Times New Roman" w:cs="Times New Roman"/>
          <w:color w:val="222222"/>
          <w:sz w:val="24"/>
          <w:szCs w:val="24"/>
        </w:rPr>
        <w:t>з моменту його підписання та дії до 31 грудня 202</w:t>
      </w:r>
      <w:r w:rsidR="007C6637" w:rsidRPr="007C6637">
        <w:rPr>
          <w:rFonts w:ascii="Times New Roman" w:eastAsia="Times New Roman" w:hAnsi="Times New Roman" w:cs="Times New Roman"/>
          <w:color w:val="222222"/>
          <w:sz w:val="24"/>
          <w:szCs w:val="24"/>
          <w:lang w:val="ru-RU"/>
        </w:rPr>
        <w:t>4</w:t>
      </w:r>
      <w:r w:rsidR="00BC69CE">
        <w:rPr>
          <w:rFonts w:ascii="Times New Roman" w:eastAsia="Times New Roman" w:hAnsi="Times New Roman" w:cs="Times New Roman"/>
          <w:color w:val="222222"/>
          <w:sz w:val="24"/>
          <w:szCs w:val="24"/>
        </w:rPr>
        <w:t xml:space="preserve">р.,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14:paraId="00B223DF" w14:textId="363A430C"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w:t>
      </w:r>
      <w:r w:rsidR="00E4071C">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p w14:paraId="4D16C215" w14:textId="004E463B"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E4071C">
        <w:rPr>
          <w:rFonts w:ascii="Times New Roman" w:eastAsia="Times New Roman" w:hAnsi="Times New Roman" w:cs="Times New Roman"/>
          <w:color w:val="222222"/>
          <w:sz w:val="24"/>
          <w:szCs w:val="24"/>
        </w:rPr>
        <w:t>и від 12 жовтня 2022 р. № 1178.</w:t>
      </w:r>
    </w:p>
    <w:p w14:paraId="7FAA0DDF"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39E3111C"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ПРИКІНЦЕВІ ПОЛОЖЕННЯ</w:t>
      </w:r>
    </w:p>
    <w:p w14:paraId="3ACE1CF0" w14:textId="77777777" w:rsidR="00552430" w:rsidRDefault="00552430" w:rsidP="00376DDD">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13.1. Інформація про податковий статус ЗАМОВНИКА та ПОСТАЧАЛЬНИКА визначається у розділі 14 Договору. </w:t>
      </w:r>
    </w:p>
    <w:p w14:paraId="76807981"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13.2. Підставою для розірвання Договору достроково є порушення з боку ПОСТАЧАЛЬНИКА </w:t>
      </w:r>
      <w:r w:rsidRPr="00E4071C">
        <w:rPr>
          <w:rFonts w:ascii="Times New Roman" w:eastAsia="Times New Roman" w:hAnsi="Times New Roman" w:cs="Times New Roman"/>
          <w:color w:val="222222"/>
          <w:sz w:val="24"/>
          <w:szCs w:val="24"/>
        </w:rPr>
        <w:t>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w:t>
      </w:r>
      <w:r>
        <w:rPr>
          <w:rFonts w:ascii="Times New Roman" w:eastAsia="Times New Roman" w:hAnsi="Times New Roman" w:cs="Times New Roman"/>
          <w:color w:val="222222"/>
          <w:sz w:val="24"/>
          <w:szCs w:val="24"/>
        </w:rPr>
        <w:t xml:space="preserve">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p w14:paraId="6B55DA4D"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7A4BF65" w14:textId="77777777" w:rsidR="00552430" w:rsidRPr="00E4071C" w:rsidRDefault="00552430" w:rsidP="00376DDD">
      <w:pPr>
        <w:numPr>
          <w:ilvl w:val="0"/>
          <w:numId w:val="9"/>
        </w:numPr>
        <w:spacing w:line="240" w:lineRule="auto"/>
        <w:ind w:left="425"/>
        <w:jc w:val="both"/>
        <w:rPr>
          <w:rFonts w:ascii="Times New Roman" w:eastAsia="Times New Roman" w:hAnsi="Times New Roman" w:cs="Times New Roman"/>
          <w:color w:val="222222"/>
          <w:sz w:val="24"/>
          <w:szCs w:val="24"/>
        </w:rPr>
      </w:pPr>
      <w:r w:rsidRPr="00E4071C">
        <w:rPr>
          <w:rFonts w:ascii="Times New Roman" w:eastAsia="Times New Roman" w:hAnsi="Times New Roman" w:cs="Times New Roman"/>
          <w:color w:val="222222"/>
          <w:sz w:val="24"/>
          <w:szCs w:val="24"/>
        </w:rPr>
        <w:t>порушення ПОСТАЧАЛЬНИКОМ умов розділів 4-6 цього Договору та/або істотне порушення ПОСТАЧАЛЬНИКОМ своїх зобов’язань за цим Договором;</w:t>
      </w:r>
    </w:p>
    <w:p w14:paraId="664F769B" w14:textId="77777777" w:rsidR="00552430" w:rsidRDefault="00552430" w:rsidP="00376DDD">
      <w:pPr>
        <w:numPr>
          <w:ilvl w:val="0"/>
          <w:numId w:val="9"/>
        </w:numPr>
        <w:spacing w:line="240" w:lineRule="auto"/>
        <w:ind w:left="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прийняття судового рішення про визнання ПОСТАЧАЛЬНИКА банкрутом.</w:t>
      </w:r>
    </w:p>
    <w:p w14:paraId="5EDD5CFA" w14:textId="6B36AB48"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w:t>
      </w:r>
      <w:r w:rsidR="00E4071C">
        <w:rPr>
          <w:rFonts w:ascii="Times New Roman" w:eastAsia="Times New Roman" w:hAnsi="Times New Roman" w:cs="Times New Roman"/>
          <w:color w:val="222222"/>
          <w:sz w:val="24"/>
          <w:szCs w:val="24"/>
        </w:rPr>
        <w:t>Договору</w:t>
      </w:r>
      <w:r>
        <w:rPr>
          <w:rFonts w:ascii="Times New Roman" w:eastAsia="Times New Roman" w:hAnsi="Times New Roman" w:cs="Times New Roman"/>
          <w:color w:val="222222"/>
          <w:sz w:val="24"/>
          <w:szCs w:val="24"/>
        </w:rPr>
        <w:t>.</w:t>
      </w:r>
    </w:p>
    <w:p w14:paraId="05142262"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Факсимільні копії документів не мають юридичну силу.</w:t>
      </w:r>
    </w:p>
    <w:p w14:paraId="3DD3EBF9" w14:textId="03F5CCFA"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p w14:paraId="3FEF22A2" w14:textId="3457D81B"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13.</w:t>
      </w:r>
      <w:r w:rsidR="00021331">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4658AD3" w14:textId="09988A71"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0085558F" w14:textId="64A3CCCC" w:rsidR="00552430" w:rsidRDefault="00021331"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13.7</w:t>
      </w:r>
      <w:r w:rsidR="00552430">
        <w:rPr>
          <w:rFonts w:ascii="Times New Roman" w:eastAsia="Times New Roman" w:hAnsi="Times New Roman" w:cs="Times New Roman"/>
          <w:color w:val="222222"/>
          <w:sz w:val="24"/>
          <w:szCs w:val="24"/>
        </w:rPr>
        <w:t>.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4A8F24A2" w14:textId="166B94C6"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07D37CC"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0ED286A5"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МІСЦЕЗНАХОДЖЕННЯ І РЕКВІЗИТИ СТОРІН</w:t>
      </w:r>
    </w:p>
    <w:p w14:paraId="3D843365" w14:textId="38372F65" w:rsidR="00552430" w:rsidRDefault="00552430" w:rsidP="00552430">
      <w:pPr>
        <w:spacing w:line="240" w:lineRule="auto"/>
        <w:jc w:val="center"/>
        <w:rPr>
          <w:rFonts w:ascii="Times New Roman" w:eastAsia="Times New Roman" w:hAnsi="Times New Roman" w:cs="Times New Roman"/>
          <w:b/>
          <w:color w:val="222222"/>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00293A92" w14:textId="77777777" w:rsidTr="00021331">
        <w:tc>
          <w:tcPr>
            <w:tcW w:w="5019" w:type="dxa"/>
          </w:tcPr>
          <w:p w14:paraId="4EC94FA6" w14:textId="69D15A7A" w:rsidR="00021331" w:rsidRPr="00021331" w:rsidRDefault="00021331" w:rsidP="00021331">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1C017D1B" w14:textId="41CCA283" w:rsidR="00021331" w:rsidRPr="00021331" w:rsidRDefault="00021331" w:rsidP="00021331">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435B8CE3" w14:textId="77777777" w:rsidTr="00021331">
        <w:tc>
          <w:tcPr>
            <w:tcW w:w="5019" w:type="dxa"/>
          </w:tcPr>
          <w:p w14:paraId="49AA0326"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1A47A8A4"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A1D5B44"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634328AD"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227C610C"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18A3C7ED"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5E399C4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632D06B7"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516779CA"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09B8160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76319D46" w14:textId="0DDA94CA" w:rsidR="00021331" w:rsidRPr="00021331" w:rsidRDefault="00021331" w:rsidP="00021331">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158AD43D" w14:textId="77777777" w:rsidR="00021331" w:rsidRPr="00021331" w:rsidRDefault="00021331" w:rsidP="00021331">
            <w:pPr>
              <w:rPr>
                <w:rFonts w:ascii="Times New Roman" w:hAnsi="Times New Roman" w:cs="Times New Roman"/>
                <w:sz w:val="24"/>
                <w:szCs w:val="24"/>
              </w:rPr>
            </w:pPr>
          </w:p>
          <w:p w14:paraId="686B7000"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7CB4ADA7" w14:textId="77777777" w:rsidR="00021331" w:rsidRPr="00021331" w:rsidRDefault="00021331" w:rsidP="00021331">
            <w:pPr>
              <w:rPr>
                <w:rFonts w:ascii="Times New Roman" w:hAnsi="Times New Roman" w:cs="Times New Roman"/>
                <w:sz w:val="24"/>
                <w:szCs w:val="24"/>
              </w:rPr>
            </w:pPr>
          </w:p>
          <w:p w14:paraId="3A76D0F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48B8AAA3" w14:textId="77777777" w:rsidR="00021331" w:rsidRPr="00021331" w:rsidRDefault="00021331" w:rsidP="00021331">
            <w:pPr>
              <w:jc w:val="center"/>
              <w:rPr>
                <w:rFonts w:ascii="Times New Roman" w:eastAsia="Times New Roman" w:hAnsi="Times New Roman" w:cs="Times New Roman"/>
                <w:b/>
                <w:color w:val="222222"/>
                <w:sz w:val="24"/>
                <w:szCs w:val="24"/>
              </w:rPr>
            </w:pPr>
          </w:p>
        </w:tc>
        <w:tc>
          <w:tcPr>
            <w:tcW w:w="5019" w:type="dxa"/>
          </w:tcPr>
          <w:p w14:paraId="461B7D6F" w14:textId="77777777" w:rsidR="00021331" w:rsidRPr="00021331" w:rsidRDefault="00021331" w:rsidP="00021331">
            <w:pPr>
              <w:jc w:val="center"/>
              <w:rPr>
                <w:rFonts w:ascii="Times New Roman" w:eastAsia="Times New Roman" w:hAnsi="Times New Roman" w:cs="Times New Roman"/>
                <w:b/>
                <w:color w:val="222222"/>
                <w:sz w:val="24"/>
                <w:szCs w:val="24"/>
              </w:rPr>
            </w:pPr>
          </w:p>
          <w:p w14:paraId="6F6869EB"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7593BB6" w14:textId="77777777" w:rsidR="00021331" w:rsidRPr="00021331" w:rsidRDefault="00021331" w:rsidP="00021331">
            <w:pPr>
              <w:jc w:val="center"/>
              <w:rPr>
                <w:rFonts w:ascii="Times New Roman" w:eastAsia="Times New Roman" w:hAnsi="Times New Roman" w:cs="Times New Roman"/>
                <w:b/>
                <w:color w:val="222222"/>
                <w:sz w:val="24"/>
                <w:szCs w:val="24"/>
              </w:rPr>
            </w:pPr>
          </w:p>
          <w:p w14:paraId="11040EFE" w14:textId="77777777" w:rsidR="00021331" w:rsidRPr="00021331" w:rsidRDefault="00021331" w:rsidP="00021331">
            <w:pPr>
              <w:jc w:val="center"/>
              <w:rPr>
                <w:rFonts w:ascii="Times New Roman" w:eastAsia="Times New Roman" w:hAnsi="Times New Roman" w:cs="Times New Roman"/>
                <w:b/>
                <w:color w:val="222222"/>
                <w:sz w:val="24"/>
                <w:szCs w:val="24"/>
              </w:rPr>
            </w:pPr>
          </w:p>
          <w:p w14:paraId="5053E077" w14:textId="77777777" w:rsidR="00021331" w:rsidRPr="00021331" w:rsidRDefault="00021331" w:rsidP="00021331">
            <w:pPr>
              <w:jc w:val="center"/>
              <w:rPr>
                <w:rFonts w:ascii="Times New Roman" w:eastAsia="Times New Roman" w:hAnsi="Times New Roman" w:cs="Times New Roman"/>
                <w:b/>
                <w:color w:val="222222"/>
                <w:sz w:val="24"/>
                <w:szCs w:val="24"/>
              </w:rPr>
            </w:pPr>
          </w:p>
          <w:p w14:paraId="2515ECEC"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4770943" w14:textId="77777777" w:rsidR="00021331" w:rsidRPr="00021331" w:rsidRDefault="00021331" w:rsidP="00021331">
            <w:pPr>
              <w:jc w:val="center"/>
              <w:rPr>
                <w:rFonts w:ascii="Times New Roman" w:eastAsia="Times New Roman" w:hAnsi="Times New Roman" w:cs="Times New Roman"/>
                <w:b/>
                <w:color w:val="222222"/>
                <w:sz w:val="24"/>
                <w:szCs w:val="24"/>
              </w:rPr>
            </w:pPr>
          </w:p>
          <w:p w14:paraId="6A619713"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140D9BE" w14:textId="77777777" w:rsidR="00021331" w:rsidRPr="00021331" w:rsidRDefault="00021331" w:rsidP="00021331">
            <w:pPr>
              <w:jc w:val="center"/>
              <w:rPr>
                <w:rFonts w:ascii="Times New Roman" w:eastAsia="Times New Roman" w:hAnsi="Times New Roman" w:cs="Times New Roman"/>
                <w:b/>
                <w:color w:val="222222"/>
                <w:sz w:val="24"/>
                <w:szCs w:val="24"/>
              </w:rPr>
            </w:pPr>
          </w:p>
          <w:p w14:paraId="16FF11D0" w14:textId="77777777" w:rsidR="00021331" w:rsidRPr="00021331" w:rsidRDefault="00021331" w:rsidP="00021331">
            <w:pPr>
              <w:jc w:val="center"/>
              <w:rPr>
                <w:rFonts w:ascii="Times New Roman" w:eastAsia="Times New Roman" w:hAnsi="Times New Roman" w:cs="Times New Roman"/>
                <w:b/>
                <w:color w:val="222222"/>
                <w:sz w:val="24"/>
                <w:szCs w:val="24"/>
              </w:rPr>
            </w:pPr>
          </w:p>
          <w:p w14:paraId="525B19F9" w14:textId="77777777" w:rsidR="00021331" w:rsidRPr="00021331" w:rsidRDefault="00021331" w:rsidP="00021331">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4759B5FC" w14:textId="77777777" w:rsidR="00021331" w:rsidRDefault="00021331" w:rsidP="00021331">
            <w:pPr>
              <w:jc w:val="center"/>
              <w:rPr>
                <w:rFonts w:ascii="Times New Roman" w:eastAsia="Times New Roman" w:hAnsi="Times New Roman" w:cs="Times New Roman"/>
                <w:b/>
                <w:color w:val="222222"/>
                <w:sz w:val="24"/>
                <w:szCs w:val="24"/>
              </w:rPr>
            </w:pPr>
          </w:p>
          <w:p w14:paraId="57A76414"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4BB743CF" w14:textId="77777777" w:rsidR="00021331" w:rsidRPr="00021331" w:rsidRDefault="00021331" w:rsidP="00021331">
            <w:pPr>
              <w:rPr>
                <w:rFonts w:ascii="Times New Roman" w:hAnsi="Times New Roman" w:cs="Times New Roman"/>
                <w:sz w:val="24"/>
                <w:szCs w:val="24"/>
              </w:rPr>
            </w:pPr>
          </w:p>
          <w:p w14:paraId="6F770083" w14:textId="370A9039" w:rsidR="00021331" w:rsidRPr="00021331" w:rsidRDefault="00021331" w:rsidP="00021331">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31" w14:textId="77777777" w:rsidR="00053917" w:rsidRDefault="00A22AFD" w:rsidP="00552430">
      <w:pPr>
        <w:spacing w:line="240" w:lineRule="auto"/>
        <w:rPr>
          <w:rFonts w:ascii="Times New Roman" w:eastAsia="Times New Roman" w:hAnsi="Times New Roman" w:cs="Times New Roman"/>
          <w:sz w:val="24"/>
          <w:szCs w:val="24"/>
        </w:rPr>
      </w:pPr>
      <w:r>
        <w:br w:type="page"/>
      </w:r>
    </w:p>
    <w:tbl>
      <w:tblPr>
        <w:tblStyle w:val="af0"/>
        <w:tblW w:w="10314" w:type="dxa"/>
        <w:tblInd w:w="-284" w:type="dxa"/>
        <w:tblLayout w:type="fixed"/>
        <w:tblLook w:val="0400" w:firstRow="0" w:lastRow="0" w:firstColumn="0" w:lastColumn="0" w:noHBand="0" w:noVBand="1"/>
      </w:tblPr>
      <w:tblGrid>
        <w:gridCol w:w="10314"/>
      </w:tblGrid>
      <w:tr w:rsidR="00053917" w14:paraId="259E18E7" w14:textId="77777777" w:rsidTr="00B74E7D">
        <w:trPr>
          <w:trHeight w:val="1298"/>
        </w:trPr>
        <w:tc>
          <w:tcPr>
            <w:tcW w:w="10314" w:type="dxa"/>
          </w:tcPr>
          <w:p w14:paraId="00000132"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Додаток №1 </w:t>
            </w:r>
          </w:p>
          <w:p w14:paraId="00000133"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34" w14:textId="16EB00D4"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B74E7D">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35"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3D2E23EB" w14:textId="77777777" w:rsidTr="00B74E7D">
        <w:tc>
          <w:tcPr>
            <w:tcW w:w="10314" w:type="dxa"/>
          </w:tcPr>
          <w:p w14:paraId="00000136" w14:textId="77777777" w:rsidR="00053917" w:rsidRDefault="00A22AFD" w:rsidP="0055243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Специфікація</w:t>
            </w:r>
          </w:p>
          <w:p w14:paraId="00000137" w14:textId="4799976E" w:rsidR="00053917" w:rsidRDefault="00A22AFD" w:rsidP="0055243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від «___» __________ 202</w:t>
            </w:r>
            <w:r w:rsidR="00B74E7D">
              <w:rPr>
                <w:rFonts w:ascii="Times New Roman" w:eastAsia="Times New Roman" w:hAnsi="Times New Roman" w:cs="Times New Roman"/>
                <w:color w:val="222222"/>
                <w:sz w:val="24"/>
                <w:szCs w:val="24"/>
              </w:rPr>
              <w:t>4</w:t>
            </w:r>
            <w:r w:rsidR="00BC69C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року</w:t>
            </w:r>
          </w:p>
          <w:p w14:paraId="00000138" w14:textId="77777777" w:rsidR="00053917" w:rsidRDefault="00053917" w:rsidP="00552430">
            <w:pPr>
              <w:spacing w:line="240" w:lineRule="auto"/>
              <w:jc w:val="center"/>
              <w:rPr>
                <w:rFonts w:ascii="Times New Roman" w:eastAsia="Times New Roman" w:hAnsi="Times New Roman" w:cs="Times New Roman"/>
                <w:color w:val="222222"/>
                <w:sz w:val="24"/>
                <w:szCs w:val="24"/>
              </w:rPr>
            </w:pPr>
          </w:p>
        </w:tc>
      </w:tr>
      <w:tr w:rsidR="00053917" w14:paraId="3ECA3C8B" w14:textId="77777777" w:rsidTr="00B74E7D">
        <w:tc>
          <w:tcPr>
            <w:tcW w:w="10314" w:type="dxa"/>
          </w:tcPr>
          <w:tbl>
            <w:tblPr>
              <w:tblStyle w:val="af1"/>
              <w:tblW w:w="992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136"/>
              <w:gridCol w:w="1559"/>
              <w:gridCol w:w="1422"/>
              <w:gridCol w:w="1276"/>
              <w:gridCol w:w="1696"/>
              <w:gridCol w:w="1418"/>
            </w:tblGrid>
            <w:tr w:rsidR="00BC1103" w:rsidRPr="00B74E7D" w14:paraId="54A2EB78" w14:textId="77777777" w:rsidTr="00BC1103">
              <w:trPr>
                <w:trHeight w:val="523"/>
              </w:trPr>
              <w:tc>
                <w:tcPr>
                  <w:tcW w:w="421" w:type="dxa"/>
                  <w:vAlign w:val="center"/>
                </w:tcPr>
                <w:p w14:paraId="0000013E" w14:textId="77777777" w:rsidR="00BC1103" w:rsidRPr="00B74E7D" w:rsidRDefault="00BC1103" w:rsidP="00552430">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w:t>
                  </w:r>
                </w:p>
              </w:tc>
              <w:tc>
                <w:tcPr>
                  <w:tcW w:w="2136" w:type="dxa"/>
                  <w:vAlign w:val="center"/>
                </w:tcPr>
                <w:p w14:paraId="0000013F" w14:textId="2FC1B0D3" w:rsidR="00BC1103" w:rsidRPr="00B74E7D" w:rsidRDefault="00BC1103" w:rsidP="00552430">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Найменування</w:t>
                  </w:r>
                </w:p>
              </w:tc>
              <w:tc>
                <w:tcPr>
                  <w:tcW w:w="1559" w:type="dxa"/>
                  <w:vAlign w:val="center"/>
                </w:tcPr>
                <w:p w14:paraId="00000140" w14:textId="77777777" w:rsidR="00BC1103" w:rsidRPr="00B74E7D" w:rsidRDefault="00BC1103" w:rsidP="00552430">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Виробник, країна виробництва продукції</w:t>
                  </w:r>
                </w:p>
              </w:tc>
              <w:tc>
                <w:tcPr>
                  <w:tcW w:w="1422" w:type="dxa"/>
                  <w:vAlign w:val="center"/>
                </w:tcPr>
                <w:p w14:paraId="00000143" w14:textId="5EAEC732" w:rsidR="00BC1103" w:rsidRPr="00B74E7D" w:rsidRDefault="00BC1103" w:rsidP="00BC1103">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 xml:space="preserve">Од. </w:t>
                  </w:r>
                  <w:proofErr w:type="spellStart"/>
                  <w:r w:rsidRPr="00B74E7D">
                    <w:rPr>
                      <w:rFonts w:ascii="Times New Roman" w:eastAsia="Times New Roman" w:hAnsi="Times New Roman" w:cs="Times New Roman"/>
                      <w:color w:val="222222"/>
                    </w:rPr>
                    <w:t>вим</w:t>
                  </w:r>
                  <w:proofErr w:type="spellEnd"/>
                  <w:r w:rsidRPr="00B74E7D">
                    <w:rPr>
                      <w:rFonts w:ascii="Times New Roman" w:eastAsia="Times New Roman" w:hAnsi="Times New Roman" w:cs="Times New Roman"/>
                      <w:color w:val="222222"/>
                    </w:rPr>
                    <w:t>.</w:t>
                  </w:r>
                </w:p>
              </w:tc>
              <w:tc>
                <w:tcPr>
                  <w:tcW w:w="1276" w:type="dxa"/>
                  <w:vAlign w:val="center"/>
                </w:tcPr>
                <w:p w14:paraId="00000144" w14:textId="038522B8" w:rsidR="00BC1103" w:rsidRPr="00B74E7D" w:rsidRDefault="00BC1103" w:rsidP="00223BC0">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Кількість</w:t>
                  </w:r>
                </w:p>
              </w:tc>
              <w:tc>
                <w:tcPr>
                  <w:tcW w:w="1696" w:type="dxa"/>
                  <w:vAlign w:val="center"/>
                </w:tcPr>
                <w:p w14:paraId="00000146" w14:textId="2AE43333" w:rsidR="00BC1103" w:rsidRPr="00B74E7D" w:rsidRDefault="00BC1103" w:rsidP="00BC1103">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Ціна за одиницю, грн.</w:t>
                  </w:r>
                  <w:r>
                    <w:rPr>
                      <w:rFonts w:ascii="Times New Roman" w:eastAsia="Times New Roman" w:hAnsi="Times New Roman" w:cs="Times New Roman"/>
                      <w:color w:val="222222"/>
                    </w:rPr>
                    <w:t xml:space="preserve"> з / </w:t>
                  </w:r>
                  <w:r w:rsidRPr="00B74E7D">
                    <w:rPr>
                      <w:rFonts w:ascii="Times New Roman" w:eastAsia="Times New Roman" w:hAnsi="Times New Roman" w:cs="Times New Roman"/>
                      <w:color w:val="222222"/>
                    </w:rPr>
                    <w:t>без ПДВ</w:t>
                  </w:r>
                </w:p>
              </w:tc>
              <w:tc>
                <w:tcPr>
                  <w:tcW w:w="1418" w:type="dxa"/>
                  <w:vAlign w:val="center"/>
                </w:tcPr>
                <w:p w14:paraId="00000147" w14:textId="77777777" w:rsidR="00BC1103" w:rsidRPr="00B74E7D" w:rsidRDefault="00BC1103" w:rsidP="00552430">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Сума, грн.</w:t>
                  </w:r>
                </w:p>
              </w:tc>
            </w:tr>
            <w:tr w:rsidR="00BC1103" w:rsidRPr="00B74E7D" w14:paraId="09303A5B" w14:textId="77777777" w:rsidTr="00BC1103">
              <w:tc>
                <w:tcPr>
                  <w:tcW w:w="421" w:type="dxa"/>
                </w:tcPr>
                <w:p w14:paraId="00000148" w14:textId="77777777" w:rsidR="00BC1103" w:rsidRPr="00B74E7D" w:rsidRDefault="00BC1103" w:rsidP="00552430">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1</w:t>
                  </w:r>
                </w:p>
              </w:tc>
              <w:tc>
                <w:tcPr>
                  <w:tcW w:w="2136" w:type="dxa"/>
                </w:tcPr>
                <w:p w14:paraId="00000149" w14:textId="5F34DCCF" w:rsidR="00BC1103" w:rsidRPr="00B74E7D" w:rsidRDefault="00BC1103" w:rsidP="00552430">
                  <w:pPr>
                    <w:spacing w:line="240" w:lineRule="auto"/>
                    <w:jc w:val="center"/>
                    <w:rPr>
                      <w:rFonts w:ascii="Times New Roman" w:eastAsia="Times New Roman" w:hAnsi="Times New Roman" w:cs="Times New Roman"/>
                      <w:color w:val="222222"/>
                    </w:rPr>
                  </w:pPr>
                </w:p>
              </w:tc>
              <w:tc>
                <w:tcPr>
                  <w:tcW w:w="1559" w:type="dxa"/>
                </w:tcPr>
                <w:p w14:paraId="0000014A" w14:textId="77777777" w:rsidR="00BC1103" w:rsidRPr="00B74E7D" w:rsidRDefault="00BC1103" w:rsidP="00552430">
                  <w:pPr>
                    <w:spacing w:line="240" w:lineRule="auto"/>
                    <w:jc w:val="center"/>
                    <w:rPr>
                      <w:rFonts w:ascii="Times New Roman" w:eastAsia="Times New Roman" w:hAnsi="Times New Roman" w:cs="Times New Roman"/>
                      <w:color w:val="222222"/>
                    </w:rPr>
                  </w:pPr>
                </w:p>
              </w:tc>
              <w:tc>
                <w:tcPr>
                  <w:tcW w:w="1422" w:type="dxa"/>
                </w:tcPr>
                <w:p w14:paraId="0000014B" w14:textId="77777777" w:rsidR="00BC1103" w:rsidRPr="00B74E7D" w:rsidRDefault="00BC1103" w:rsidP="00552430">
                  <w:pPr>
                    <w:spacing w:line="240" w:lineRule="auto"/>
                    <w:jc w:val="center"/>
                    <w:rPr>
                      <w:rFonts w:ascii="Times New Roman" w:eastAsia="Times New Roman" w:hAnsi="Times New Roman" w:cs="Times New Roman"/>
                      <w:color w:val="222222"/>
                    </w:rPr>
                  </w:pPr>
                </w:p>
              </w:tc>
              <w:tc>
                <w:tcPr>
                  <w:tcW w:w="1276" w:type="dxa"/>
                </w:tcPr>
                <w:p w14:paraId="0000014C" w14:textId="77777777" w:rsidR="00BC1103" w:rsidRPr="00B74E7D" w:rsidRDefault="00BC1103" w:rsidP="00552430">
                  <w:pPr>
                    <w:spacing w:line="240" w:lineRule="auto"/>
                    <w:jc w:val="center"/>
                    <w:rPr>
                      <w:rFonts w:ascii="Times New Roman" w:eastAsia="Times New Roman" w:hAnsi="Times New Roman" w:cs="Times New Roman"/>
                      <w:color w:val="222222"/>
                    </w:rPr>
                  </w:pPr>
                </w:p>
              </w:tc>
              <w:tc>
                <w:tcPr>
                  <w:tcW w:w="1696" w:type="dxa"/>
                </w:tcPr>
                <w:p w14:paraId="0000014D" w14:textId="77777777" w:rsidR="00BC1103" w:rsidRPr="00B74E7D" w:rsidRDefault="00BC1103" w:rsidP="00552430">
                  <w:pPr>
                    <w:spacing w:line="240" w:lineRule="auto"/>
                    <w:jc w:val="center"/>
                    <w:rPr>
                      <w:rFonts w:ascii="Times New Roman" w:eastAsia="Times New Roman" w:hAnsi="Times New Roman" w:cs="Times New Roman"/>
                      <w:color w:val="222222"/>
                    </w:rPr>
                  </w:pPr>
                </w:p>
              </w:tc>
              <w:tc>
                <w:tcPr>
                  <w:tcW w:w="1418" w:type="dxa"/>
                </w:tcPr>
                <w:p w14:paraId="0000014E" w14:textId="77777777" w:rsidR="00BC1103" w:rsidRPr="00B74E7D" w:rsidRDefault="00BC1103" w:rsidP="00552430">
                  <w:pPr>
                    <w:spacing w:line="240" w:lineRule="auto"/>
                    <w:jc w:val="center"/>
                    <w:rPr>
                      <w:rFonts w:ascii="Times New Roman" w:eastAsia="Times New Roman" w:hAnsi="Times New Roman" w:cs="Times New Roman"/>
                      <w:color w:val="222222"/>
                    </w:rPr>
                  </w:pPr>
                </w:p>
              </w:tc>
            </w:tr>
            <w:tr w:rsidR="00BC1103" w:rsidRPr="00B74E7D" w14:paraId="38C53F21" w14:textId="77777777" w:rsidTr="00BC1103">
              <w:tc>
                <w:tcPr>
                  <w:tcW w:w="421" w:type="dxa"/>
                </w:tcPr>
                <w:p w14:paraId="280AD5B0" w14:textId="36D91F17" w:rsidR="00BC1103" w:rsidRPr="00B74E7D" w:rsidRDefault="00BC1103" w:rsidP="00552430">
                  <w:pPr>
                    <w:spacing w:line="240" w:lineRule="auto"/>
                    <w:jc w:val="center"/>
                    <w:rPr>
                      <w:rFonts w:ascii="Times New Roman" w:eastAsia="Times New Roman" w:hAnsi="Times New Roman" w:cs="Times New Roman"/>
                      <w:color w:val="222222"/>
                    </w:rPr>
                  </w:pPr>
                  <w:r w:rsidRPr="00B74E7D">
                    <w:rPr>
                      <w:rFonts w:ascii="Times New Roman" w:eastAsia="Times New Roman" w:hAnsi="Times New Roman" w:cs="Times New Roman"/>
                      <w:color w:val="222222"/>
                    </w:rPr>
                    <w:t>…</w:t>
                  </w:r>
                </w:p>
              </w:tc>
              <w:tc>
                <w:tcPr>
                  <w:tcW w:w="2136" w:type="dxa"/>
                </w:tcPr>
                <w:p w14:paraId="42B48FD6" w14:textId="6C0FE1BF" w:rsidR="00BC1103" w:rsidRPr="00B74E7D" w:rsidRDefault="00BC1103" w:rsidP="00552430">
                  <w:pPr>
                    <w:spacing w:line="240" w:lineRule="auto"/>
                    <w:jc w:val="center"/>
                    <w:rPr>
                      <w:rFonts w:ascii="Times New Roman" w:eastAsia="Times New Roman" w:hAnsi="Times New Roman" w:cs="Times New Roman"/>
                      <w:color w:val="222222"/>
                    </w:rPr>
                  </w:pPr>
                </w:p>
              </w:tc>
              <w:tc>
                <w:tcPr>
                  <w:tcW w:w="1559" w:type="dxa"/>
                </w:tcPr>
                <w:p w14:paraId="23FEE8D9" w14:textId="77777777" w:rsidR="00BC1103" w:rsidRPr="00B74E7D" w:rsidRDefault="00BC1103" w:rsidP="00552430">
                  <w:pPr>
                    <w:spacing w:line="240" w:lineRule="auto"/>
                    <w:jc w:val="center"/>
                    <w:rPr>
                      <w:rFonts w:ascii="Times New Roman" w:eastAsia="Times New Roman" w:hAnsi="Times New Roman" w:cs="Times New Roman"/>
                      <w:color w:val="222222"/>
                    </w:rPr>
                  </w:pPr>
                </w:p>
              </w:tc>
              <w:tc>
                <w:tcPr>
                  <w:tcW w:w="1422" w:type="dxa"/>
                </w:tcPr>
                <w:p w14:paraId="05379A16" w14:textId="77777777" w:rsidR="00BC1103" w:rsidRPr="00B74E7D" w:rsidRDefault="00BC1103" w:rsidP="00552430">
                  <w:pPr>
                    <w:spacing w:line="240" w:lineRule="auto"/>
                    <w:jc w:val="center"/>
                    <w:rPr>
                      <w:rFonts w:ascii="Times New Roman" w:eastAsia="Times New Roman" w:hAnsi="Times New Roman" w:cs="Times New Roman"/>
                      <w:color w:val="222222"/>
                    </w:rPr>
                  </w:pPr>
                </w:p>
              </w:tc>
              <w:tc>
                <w:tcPr>
                  <w:tcW w:w="1276" w:type="dxa"/>
                </w:tcPr>
                <w:p w14:paraId="411EFBE2" w14:textId="77777777" w:rsidR="00BC1103" w:rsidRPr="00B74E7D" w:rsidRDefault="00BC1103" w:rsidP="00552430">
                  <w:pPr>
                    <w:spacing w:line="240" w:lineRule="auto"/>
                    <w:jc w:val="center"/>
                    <w:rPr>
                      <w:rFonts w:ascii="Times New Roman" w:eastAsia="Times New Roman" w:hAnsi="Times New Roman" w:cs="Times New Roman"/>
                      <w:color w:val="222222"/>
                    </w:rPr>
                  </w:pPr>
                </w:p>
              </w:tc>
              <w:tc>
                <w:tcPr>
                  <w:tcW w:w="1696" w:type="dxa"/>
                </w:tcPr>
                <w:p w14:paraId="5CB1E84A" w14:textId="77777777" w:rsidR="00BC1103" w:rsidRPr="00B74E7D" w:rsidRDefault="00BC1103" w:rsidP="00552430">
                  <w:pPr>
                    <w:spacing w:line="240" w:lineRule="auto"/>
                    <w:jc w:val="center"/>
                    <w:rPr>
                      <w:rFonts w:ascii="Times New Roman" w:eastAsia="Times New Roman" w:hAnsi="Times New Roman" w:cs="Times New Roman"/>
                      <w:color w:val="222222"/>
                    </w:rPr>
                  </w:pPr>
                </w:p>
              </w:tc>
              <w:tc>
                <w:tcPr>
                  <w:tcW w:w="1418" w:type="dxa"/>
                </w:tcPr>
                <w:p w14:paraId="30293AE5" w14:textId="77777777" w:rsidR="00BC1103" w:rsidRPr="00B74E7D" w:rsidRDefault="00BC1103" w:rsidP="00552430">
                  <w:pPr>
                    <w:spacing w:line="240" w:lineRule="auto"/>
                    <w:jc w:val="center"/>
                    <w:rPr>
                      <w:rFonts w:ascii="Times New Roman" w:eastAsia="Times New Roman" w:hAnsi="Times New Roman" w:cs="Times New Roman"/>
                      <w:color w:val="222222"/>
                    </w:rPr>
                  </w:pPr>
                </w:p>
              </w:tc>
            </w:tr>
            <w:tr w:rsidR="00223BC0" w:rsidRPr="00B74E7D" w14:paraId="1A3B6DC8" w14:textId="77777777" w:rsidTr="00BC1103">
              <w:trPr>
                <w:trHeight w:val="168"/>
              </w:trPr>
              <w:tc>
                <w:tcPr>
                  <w:tcW w:w="8510" w:type="dxa"/>
                  <w:gridSpan w:val="6"/>
                </w:tcPr>
                <w:p w14:paraId="0000014F" w14:textId="1382CBDF" w:rsidR="00223BC0" w:rsidRPr="00B74E7D" w:rsidRDefault="00223BC0" w:rsidP="00552430">
                  <w:pPr>
                    <w:spacing w:line="240" w:lineRule="auto"/>
                    <w:jc w:val="right"/>
                    <w:rPr>
                      <w:rFonts w:ascii="Times New Roman" w:eastAsia="Times New Roman" w:hAnsi="Times New Roman" w:cs="Times New Roman"/>
                      <w:color w:val="222222"/>
                    </w:rPr>
                  </w:pPr>
                  <w:r w:rsidRPr="00B74E7D">
                    <w:rPr>
                      <w:rFonts w:ascii="Times New Roman" w:eastAsia="Times New Roman" w:hAnsi="Times New Roman" w:cs="Times New Roman"/>
                      <w:color w:val="222222"/>
                    </w:rPr>
                    <w:t>Разом без ПДВ:</w:t>
                  </w:r>
                </w:p>
              </w:tc>
              <w:tc>
                <w:tcPr>
                  <w:tcW w:w="1418" w:type="dxa"/>
                </w:tcPr>
                <w:p w14:paraId="00000155" w14:textId="77777777" w:rsidR="00223BC0" w:rsidRPr="00B74E7D" w:rsidRDefault="00223BC0" w:rsidP="00552430">
                  <w:pPr>
                    <w:spacing w:line="240" w:lineRule="auto"/>
                    <w:jc w:val="center"/>
                    <w:rPr>
                      <w:rFonts w:ascii="Times New Roman" w:eastAsia="Times New Roman" w:hAnsi="Times New Roman" w:cs="Times New Roman"/>
                      <w:color w:val="222222"/>
                    </w:rPr>
                  </w:pPr>
                </w:p>
              </w:tc>
            </w:tr>
            <w:tr w:rsidR="00223BC0" w:rsidRPr="00B74E7D" w14:paraId="74EF5863" w14:textId="77777777" w:rsidTr="00BC1103">
              <w:trPr>
                <w:trHeight w:val="168"/>
              </w:trPr>
              <w:tc>
                <w:tcPr>
                  <w:tcW w:w="8510" w:type="dxa"/>
                  <w:gridSpan w:val="6"/>
                </w:tcPr>
                <w:p w14:paraId="00000156" w14:textId="288EC579" w:rsidR="00223BC0" w:rsidRPr="00B74E7D" w:rsidRDefault="00223BC0" w:rsidP="00552430">
                  <w:pPr>
                    <w:spacing w:line="240" w:lineRule="auto"/>
                    <w:jc w:val="right"/>
                    <w:rPr>
                      <w:rFonts w:ascii="Times New Roman" w:eastAsia="Times New Roman" w:hAnsi="Times New Roman" w:cs="Times New Roman"/>
                      <w:color w:val="222222"/>
                    </w:rPr>
                  </w:pPr>
                  <w:r w:rsidRPr="00B74E7D">
                    <w:rPr>
                      <w:rFonts w:ascii="Times New Roman" w:eastAsia="Times New Roman" w:hAnsi="Times New Roman" w:cs="Times New Roman"/>
                      <w:color w:val="222222"/>
                    </w:rPr>
                    <w:t>ПДВ:</w:t>
                  </w:r>
                </w:p>
              </w:tc>
              <w:tc>
                <w:tcPr>
                  <w:tcW w:w="1418" w:type="dxa"/>
                </w:tcPr>
                <w:p w14:paraId="0000015C" w14:textId="77777777" w:rsidR="00223BC0" w:rsidRPr="00B74E7D" w:rsidRDefault="00223BC0" w:rsidP="00552430">
                  <w:pPr>
                    <w:spacing w:line="240" w:lineRule="auto"/>
                    <w:jc w:val="center"/>
                    <w:rPr>
                      <w:rFonts w:ascii="Times New Roman" w:eastAsia="Times New Roman" w:hAnsi="Times New Roman" w:cs="Times New Roman"/>
                      <w:color w:val="222222"/>
                    </w:rPr>
                  </w:pPr>
                </w:p>
              </w:tc>
            </w:tr>
            <w:tr w:rsidR="00223BC0" w:rsidRPr="00B74E7D" w14:paraId="1D1EB9CA" w14:textId="77777777" w:rsidTr="00BC1103">
              <w:trPr>
                <w:trHeight w:val="168"/>
              </w:trPr>
              <w:tc>
                <w:tcPr>
                  <w:tcW w:w="8510" w:type="dxa"/>
                  <w:gridSpan w:val="6"/>
                </w:tcPr>
                <w:p w14:paraId="0000015D" w14:textId="47E7EEEA" w:rsidR="00223BC0" w:rsidRPr="00B74E7D" w:rsidRDefault="00223BC0" w:rsidP="00552430">
                  <w:pPr>
                    <w:spacing w:line="240" w:lineRule="auto"/>
                    <w:jc w:val="right"/>
                    <w:rPr>
                      <w:rFonts w:ascii="Times New Roman" w:eastAsia="Times New Roman" w:hAnsi="Times New Roman" w:cs="Times New Roman"/>
                      <w:color w:val="222222"/>
                    </w:rPr>
                  </w:pPr>
                  <w:r w:rsidRPr="00B74E7D">
                    <w:rPr>
                      <w:rFonts w:ascii="Times New Roman" w:eastAsia="Times New Roman" w:hAnsi="Times New Roman" w:cs="Times New Roman"/>
                      <w:color w:val="222222"/>
                    </w:rPr>
                    <w:t>Разом з ПДВ:</w:t>
                  </w:r>
                </w:p>
              </w:tc>
              <w:tc>
                <w:tcPr>
                  <w:tcW w:w="1418" w:type="dxa"/>
                </w:tcPr>
                <w:p w14:paraId="00000163" w14:textId="77777777" w:rsidR="00223BC0" w:rsidRPr="00B74E7D" w:rsidRDefault="00223BC0" w:rsidP="00552430">
                  <w:pPr>
                    <w:spacing w:line="240" w:lineRule="auto"/>
                    <w:jc w:val="center"/>
                    <w:rPr>
                      <w:rFonts w:ascii="Times New Roman" w:eastAsia="Times New Roman" w:hAnsi="Times New Roman" w:cs="Times New Roman"/>
                      <w:color w:val="222222"/>
                    </w:rPr>
                  </w:pPr>
                </w:p>
              </w:tc>
            </w:tr>
          </w:tbl>
          <w:p w14:paraId="00000169" w14:textId="3301AF81" w:rsidR="003E3FB2" w:rsidRDefault="003E3FB2" w:rsidP="003E3FB2">
            <w:pPr>
              <w:spacing w:line="240" w:lineRule="auto"/>
              <w:jc w:val="both"/>
              <w:rPr>
                <w:rFonts w:ascii="Times New Roman" w:eastAsia="Times New Roman" w:hAnsi="Times New Roman" w:cs="Times New Roman"/>
                <w:color w:val="222222"/>
                <w:sz w:val="24"/>
                <w:szCs w:val="24"/>
              </w:rPr>
            </w:pPr>
          </w:p>
        </w:tc>
      </w:tr>
      <w:tr w:rsidR="00053917" w:rsidRPr="00223BC0" w14:paraId="6F81893E" w14:textId="77777777" w:rsidTr="00B74E7D">
        <w:trPr>
          <w:trHeight w:val="565"/>
        </w:trPr>
        <w:tc>
          <w:tcPr>
            <w:tcW w:w="10314" w:type="dxa"/>
          </w:tcPr>
          <w:p w14:paraId="0000016A" w14:textId="77777777" w:rsidR="00053917" w:rsidRPr="00223BC0" w:rsidRDefault="00A22AFD" w:rsidP="00552430">
            <w:pPr>
              <w:spacing w:line="240" w:lineRule="auto"/>
              <w:jc w:val="both"/>
              <w:rPr>
                <w:rFonts w:ascii="Times New Roman" w:eastAsia="Times New Roman" w:hAnsi="Times New Roman" w:cs="Times New Roman"/>
              </w:rPr>
            </w:pPr>
            <w:r w:rsidRPr="00223BC0">
              <w:rPr>
                <w:rFonts w:ascii="Times New Roman" w:eastAsia="Times New Roman" w:hAnsi="Times New Roman" w:cs="Times New Roman"/>
              </w:rPr>
              <w:t xml:space="preserve">* Примітка: </w:t>
            </w:r>
            <w:r w:rsidRPr="00223BC0">
              <w:rPr>
                <w:rFonts w:ascii="Times New Roman" w:eastAsia="Times New Roman" w:hAnsi="Times New Roman" w:cs="Times New Roman"/>
                <w:color w:val="222222"/>
              </w:rPr>
              <w:t xml:space="preserve">за взаємною згодою Сторін можливе внесення змін (уточнень, коригувань тощо) </w:t>
            </w:r>
            <w:r w:rsidRPr="00223BC0">
              <w:rPr>
                <w:rFonts w:ascii="Times New Roman" w:eastAsia="Times New Roman" w:hAnsi="Times New Roman" w:cs="Times New Roman"/>
              </w:rPr>
              <w:t>до цієї Специфікації у випадках, передбачених Договором.</w:t>
            </w:r>
          </w:p>
          <w:p w14:paraId="0000016B" w14:textId="77777777" w:rsidR="00053917" w:rsidRPr="00223BC0" w:rsidRDefault="00053917" w:rsidP="00552430">
            <w:pPr>
              <w:spacing w:line="240" w:lineRule="auto"/>
              <w:jc w:val="both"/>
              <w:rPr>
                <w:rFonts w:ascii="Times New Roman" w:eastAsia="Times New Roman" w:hAnsi="Times New Roman" w:cs="Times New Roman"/>
              </w:rPr>
            </w:pPr>
          </w:p>
        </w:tc>
      </w:tr>
    </w:tbl>
    <w:p w14:paraId="0000016C" w14:textId="75CE4A01" w:rsidR="00053917" w:rsidRDefault="00053917" w:rsidP="00552430">
      <w:pPr>
        <w:spacing w:line="240" w:lineRule="auto"/>
        <w:rPr>
          <w:rFonts w:ascii="Times New Roman" w:eastAsia="Times New Roman" w:hAnsi="Times New Roman"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69DCD195" w14:textId="77777777" w:rsidTr="00D760A8">
        <w:tc>
          <w:tcPr>
            <w:tcW w:w="5019" w:type="dxa"/>
          </w:tcPr>
          <w:p w14:paraId="5566BA81" w14:textId="77777777" w:rsidR="00021331" w:rsidRPr="00B74E7D" w:rsidRDefault="00021331" w:rsidP="00D760A8">
            <w:pPr>
              <w:jc w:val="center"/>
              <w:rPr>
                <w:rFonts w:ascii="Times New Roman" w:eastAsia="Times New Roman" w:hAnsi="Times New Roman" w:cs="Times New Roman"/>
                <w:b/>
                <w:color w:val="222222"/>
                <w:sz w:val="24"/>
                <w:szCs w:val="24"/>
              </w:rPr>
            </w:pPr>
            <w:r w:rsidRPr="00B74E7D">
              <w:rPr>
                <w:rFonts w:ascii="Times New Roman" w:eastAsia="Times New Roman" w:hAnsi="Times New Roman" w:cs="Times New Roman"/>
                <w:b/>
                <w:color w:val="222222"/>
                <w:sz w:val="24"/>
                <w:szCs w:val="24"/>
              </w:rPr>
              <w:t>ЗАМОВНИК</w:t>
            </w:r>
          </w:p>
        </w:tc>
        <w:tc>
          <w:tcPr>
            <w:tcW w:w="5019" w:type="dxa"/>
          </w:tcPr>
          <w:p w14:paraId="610DCF76" w14:textId="77777777" w:rsidR="00021331" w:rsidRPr="00B74E7D" w:rsidRDefault="00021331" w:rsidP="00D760A8">
            <w:pPr>
              <w:jc w:val="center"/>
              <w:rPr>
                <w:rFonts w:ascii="Times New Roman" w:eastAsia="Times New Roman" w:hAnsi="Times New Roman" w:cs="Times New Roman"/>
                <w:b/>
                <w:color w:val="222222"/>
                <w:sz w:val="24"/>
                <w:szCs w:val="24"/>
              </w:rPr>
            </w:pPr>
            <w:r w:rsidRPr="00B74E7D">
              <w:rPr>
                <w:rFonts w:ascii="Times New Roman" w:eastAsia="Times New Roman" w:hAnsi="Times New Roman" w:cs="Times New Roman"/>
                <w:b/>
                <w:color w:val="222222"/>
                <w:sz w:val="24"/>
                <w:szCs w:val="24"/>
              </w:rPr>
              <w:t>ПОСТАЧАЛЬНИК</w:t>
            </w:r>
          </w:p>
        </w:tc>
      </w:tr>
      <w:tr w:rsidR="00021331" w:rsidRPr="00021331" w14:paraId="6A6AFE39" w14:textId="77777777" w:rsidTr="00D760A8">
        <w:tc>
          <w:tcPr>
            <w:tcW w:w="5019" w:type="dxa"/>
          </w:tcPr>
          <w:p w14:paraId="57613AA9"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48145710"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F5CC958"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5A50837"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1738F841"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7F989A05"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1C59ABCD"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3720A639"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7A95AEDF"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5B629CDE"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7128D43A" w14:textId="77777777" w:rsidR="00021331" w:rsidRPr="00021331" w:rsidRDefault="00021331" w:rsidP="00D760A8">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46629E45" w14:textId="77777777" w:rsidR="00021331" w:rsidRPr="00021331" w:rsidRDefault="00021331" w:rsidP="00D760A8">
            <w:pPr>
              <w:rPr>
                <w:rFonts w:ascii="Times New Roman" w:hAnsi="Times New Roman" w:cs="Times New Roman"/>
                <w:sz w:val="24"/>
                <w:szCs w:val="24"/>
              </w:rPr>
            </w:pPr>
          </w:p>
          <w:p w14:paraId="505E97CE"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57F29266" w14:textId="77777777" w:rsidR="00021331" w:rsidRPr="00021331" w:rsidRDefault="00021331" w:rsidP="00D760A8">
            <w:pPr>
              <w:rPr>
                <w:rFonts w:ascii="Times New Roman" w:hAnsi="Times New Roman" w:cs="Times New Roman"/>
                <w:sz w:val="24"/>
                <w:szCs w:val="24"/>
              </w:rPr>
            </w:pPr>
          </w:p>
          <w:p w14:paraId="0FE747B9"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36B73091" w14:textId="77777777" w:rsidR="00021331" w:rsidRPr="00021331" w:rsidRDefault="00021331" w:rsidP="00D760A8">
            <w:pPr>
              <w:jc w:val="center"/>
              <w:rPr>
                <w:rFonts w:ascii="Times New Roman" w:eastAsia="Times New Roman" w:hAnsi="Times New Roman" w:cs="Times New Roman"/>
                <w:b/>
                <w:color w:val="222222"/>
                <w:sz w:val="24"/>
                <w:szCs w:val="24"/>
              </w:rPr>
            </w:pPr>
          </w:p>
        </w:tc>
        <w:tc>
          <w:tcPr>
            <w:tcW w:w="5019" w:type="dxa"/>
          </w:tcPr>
          <w:p w14:paraId="2CCEF289"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A3B2CAA" w14:textId="77777777" w:rsidR="00021331" w:rsidRPr="00021331" w:rsidRDefault="00021331" w:rsidP="00D760A8">
            <w:pPr>
              <w:jc w:val="center"/>
              <w:rPr>
                <w:rFonts w:ascii="Times New Roman" w:eastAsia="Times New Roman" w:hAnsi="Times New Roman" w:cs="Times New Roman"/>
                <w:b/>
                <w:color w:val="222222"/>
                <w:sz w:val="24"/>
                <w:szCs w:val="24"/>
              </w:rPr>
            </w:pPr>
          </w:p>
          <w:p w14:paraId="6B2D46C1" w14:textId="77777777" w:rsidR="00021331" w:rsidRPr="00021331" w:rsidRDefault="00021331" w:rsidP="00D760A8">
            <w:pPr>
              <w:jc w:val="center"/>
              <w:rPr>
                <w:rFonts w:ascii="Times New Roman" w:eastAsia="Times New Roman" w:hAnsi="Times New Roman" w:cs="Times New Roman"/>
                <w:b/>
                <w:color w:val="222222"/>
                <w:sz w:val="24"/>
                <w:szCs w:val="24"/>
              </w:rPr>
            </w:pPr>
          </w:p>
          <w:p w14:paraId="43004184" w14:textId="77777777" w:rsidR="00021331" w:rsidRPr="00021331" w:rsidRDefault="00021331" w:rsidP="00D760A8">
            <w:pPr>
              <w:jc w:val="center"/>
              <w:rPr>
                <w:rFonts w:ascii="Times New Roman" w:eastAsia="Times New Roman" w:hAnsi="Times New Roman" w:cs="Times New Roman"/>
                <w:b/>
                <w:color w:val="222222"/>
                <w:sz w:val="24"/>
                <w:szCs w:val="24"/>
              </w:rPr>
            </w:pPr>
          </w:p>
          <w:p w14:paraId="7BDE31E7"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62D59AA" w14:textId="77777777" w:rsidR="00021331" w:rsidRPr="00021331" w:rsidRDefault="00021331" w:rsidP="00D760A8">
            <w:pPr>
              <w:jc w:val="center"/>
              <w:rPr>
                <w:rFonts w:ascii="Times New Roman" w:eastAsia="Times New Roman" w:hAnsi="Times New Roman" w:cs="Times New Roman"/>
                <w:b/>
                <w:color w:val="222222"/>
                <w:sz w:val="24"/>
                <w:szCs w:val="24"/>
              </w:rPr>
            </w:pPr>
          </w:p>
          <w:p w14:paraId="64D59437" w14:textId="77777777" w:rsidR="00021331" w:rsidRPr="00021331" w:rsidRDefault="00021331" w:rsidP="00D760A8">
            <w:pPr>
              <w:jc w:val="center"/>
              <w:rPr>
                <w:rFonts w:ascii="Times New Roman" w:eastAsia="Times New Roman" w:hAnsi="Times New Roman" w:cs="Times New Roman"/>
                <w:b/>
                <w:color w:val="222222"/>
                <w:sz w:val="24"/>
                <w:szCs w:val="24"/>
              </w:rPr>
            </w:pPr>
          </w:p>
          <w:p w14:paraId="70A3EA6E" w14:textId="77777777" w:rsidR="00021331" w:rsidRPr="00021331" w:rsidRDefault="00021331" w:rsidP="00D760A8">
            <w:pPr>
              <w:jc w:val="center"/>
              <w:rPr>
                <w:rFonts w:ascii="Times New Roman" w:eastAsia="Times New Roman" w:hAnsi="Times New Roman" w:cs="Times New Roman"/>
                <w:b/>
                <w:color w:val="222222"/>
                <w:sz w:val="24"/>
                <w:szCs w:val="24"/>
              </w:rPr>
            </w:pPr>
          </w:p>
          <w:p w14:paraId="5B655FBE" w14:textId="77777777" w:rsidR="00021331" w:rsidRPr="00021331" w:rsidRDefault="00021331" w:rsidP="00D760A8">
            <w:pPr>
              <w:jc w:val="center"/>
              <w:rPr>
                <w:rFonts w:ascii="Times New Roman" w:eastAsia="Times New Roman" w:hAnsi="Times New Roman" w:cs="Times New Roman"/>
                <w:b/>
                <w:color w:val="222222"/>
                <w:sz w:val="24"/>
                <w:szCs w:val="24"/>
              </w:rPr>
            </w:pPr>
          </w:p>
          <w:p w14:paraId="5B16D782"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6568E1D" w14:textId="77777777" w:rsidR="00021331" w:rsidRPr="00021331" w:rsidRDefault="00021331" w:rsidP="00D760A8">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1196B9FE" w14:textId="77777777" w:rsidR="00021331" w:rsidRDefault="00021331" w:rsidP="00D760A8">
            <w:pPr>
              <w:jc w:val="center"/>
              <w:rPr>
                <w:rFonts w:ascii="Times New Roman" w:eastAsia="Times New Roman" w:hAnsi="Times New Roman" w:cs="Times New Roman"/>
                <w:b/>
                <w:color w:val="222222"/>
                <w:sz w:val="24"/>
                <w:szCs w:val="24"/>
              </w:rPr>
            </w:pPr>
          </w:p>
          <w:p w14:paraId="5E69F560"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21F7553E" w14:textId="77777777" w:rsidR="00021331" w:rsidRPr="00021331" w:rsidRDefault="00021331" w:rsidP="00D760A8">
            <w:pPr>
              <w:rPr>
                <w:rFonts w:ascii="Times New Roman" w:hAnsi="Times New Roman" w:cs="Times New Roman"/>
                <w:sz w:val="24"/>
                <w:szCs w:val="24"/>
              </w:rPr>
            </w:pPr>
          </w:p>
          <w:p w14:paraId="288DFE8C" w14:textId="77777777" w:rsidR="00021331" w:rsidRPr="00021331" w:rsidRDefault="00021331" w:rsidP="00D760A8">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74" w14:textId="20654924" w:rsidR="00021331" w:rsidRDefault="00021331">
      <w:pPr>
        <w:rPr>
          <w:rFonts w:ascii="Times New Roman" w:eastAsia="Times New Roman" w:hAnsi="Times New Roman" w:cs="Times New Roman"/>
          <w:color w:val="222222"/>
          <w:sz w:val="24"/>
          <w:szCs w:val="24"/>
        </w:rPr>
      </w:pPr>
    </w:p>
    <w:sectPr w:rsidR="00021331">
      <w:pgSz w:w="11900" w:h="16820"/>
      <w:pgMar w:top="1216" w:right="572" w:bottom="748" w:left="12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EEE"/>
    <w:multiLevelType w:val="multilevel"/>
    <w:tmpl w:val="8716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B3FC5"/>
    <w:multiLevelType w:val="multilevel"/>
    <w:tmpl w:val="70200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351DA"/>
    <w:multiLevelType w:val="multilevel"/>
    <w:tmpl w:val="BEC6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612CA"/>
    <w:multiLevelType w:val="multilevel"/>
    <w:tmpl w:val="16A4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E7093"/>
    <w:multiLevelType w:val="multilevel"/>
    <w:tmpl w:val="28B8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721D3"/>
    <w:multiLevelType w:val="multilevel"/>
    <w:tmpl w:val="884A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378AA"/>
    <w:multiLevelType w:val="multilevel"/>
    <w:tmpl w:val="E6A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01E4D"/>
    <w:multiLevelType w:val="multilevel"/>
    <w:tmpl w:val="3222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C6A26"/>
    <w:multiLevelType w:val="multilevel"/>
    <w:tmpl w:val="24CA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D512B"/>
    <w:multiLevelType w:val="hybridMultilevel"/>
    <w:tmpl w:val="EDB0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F7B57"/>
    <w:multiLevelType w:val="multilevel"/>
    <w:tmpl w:val="2AE8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A5FD1"/>
    <w:multiLevelType w:val="multilevel"/>
    <w:tmpl w:val="3EA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50BA4"/>
    <w:multiLevelType w:val="multilevel"/>
    <w:tmpl w:val="790E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E49B6"/>
    <w:multiLevelType w:val="multilevel"/>
    <w:tmpl w:val="34E0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
  </w:num>
  <w:num w:numId="4">
    <w:abstractNumId w:val="5"/>
  </w:num>
  <w:num w:numId="5">
    <w:abstractNumId w:val="3"/>
  </w:num>
  <w:num w:numId="6">
    <w:abstractNumId w:val="7"/>
  </w:num>
  <w:num w:numId="7">
    <w:abstractNumId w:val="0"/>
  </w:num>
  <w:num w:numId="8">
    <w:abstractNumId w:val="13"/>
  </w:num>
  <w:num w:numId="9">
    <w:abstractNumId w:val="10"/>
  </w:num>
  <w:num w:numId="10">
    <w:abstractNumId w:val="4"/>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17"/>
    <w:rsid w:val="00021331"/>
    <w:rsid w:val="00053917"/>
    <w:rsid w:val="000543E9"/>
    <w:rsid w:val="001708CA"/>
    <w:rsid w:val="00223BC0"/>
    <w:rsid w:val="00255D59"/>
    <w:rsid w:val="003263B1"/>
    <w:rsid w:val="00376DDD"/>
    <w:rsid w:val="003775A7"/>
    <w:rsid w:val="003E3FB2"/>
    <w:rsid w:val="004F2618"/>
    <w:rsid w:val="005253B7"/>
    <w:rsid w:val="00552430"/>
    <w:rsid w:val="006001F5"/>
    <w:rsid w:val="006B1D7F"/>
    <w:rsid w:val="00705C8D"/>
    <w:rsid w:val="007C6637"/>
    <w:rsid w:val="008D19DD"/>
    <w:rsid w:val="008F21A0"/>
    <w:rsid w:val="00A22AFD"/>
    <w:rsid w:val="00B74E7D"/>
    <w:rsid w:val="00BB6D91"/>
    <w:rsid w:val="00BC1103"/>
    <w:rsid w:val="00BC69CE"/>
    <w:rsid w:val="00DC2BDA"/>
    <w:rsid w:val="00E0651C"/>
    <w:rsid w:val="00E4071C"/>
    <w:rsid w:val="00EF63EA"/>
    <w:rsid w:val="00F6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9895"/>
  <w15:docId w15:val="{DEC7425B-604C-4200-A86D-83033B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table" w:customStyle="1" w:styleId="a7">
    <w:basedOn w:val="TableNormal0"/>
    <w:tblPr>
      <w:tblStyleRowBandSize w:val="1"/>
      <w:tblStyleColBandSize w:val="1"/>
      <w:tblCellMar>
        <w:top w:w="100" w:type="dxa"/>
        <w:left w:w="108" w:type="dxa"/>
        <w:bottom w:w="100" w:type="dxa"/>
        <w:right w:w="108" w:type="dxa"/>
      </w:tblCellMar>
    </w:tblPr>
  </w:style>
  <w:style w:type="table" w:customStyle="1" w:styleId="a8">
    <w:basedOn w:val="TableNormal0"/>
    <w:tblPr>
      <w:tblStyleRowBandSize w:val="1"/>
      <w:tblStyleColBandSize w:val="1"/>
      <w:tblCellMar>
        <w:top w:w="100" w:type="dxa"/>
        <w:left w:w="108" w:type="dxa"/>
        <w:bottom w:w="100" w:type="dxa"/>
        <w:right w:w="108" w:type="dxa"/>
      </w:tblCellMar>
    </w:tblPr>
  </w:style>
  <w:style w:type="table" w:customStyle="1" w:styleId="a9">
    <w:basedOn w:val="TableNormal0"/>
    <w:tblPr>
      <w:tblStyleRowBandSize w:val="1"/>
      <w:tblStyleColBandSize w:val="1"/>
      <w:tblCellMar>
        <w:top w:w="100" w:type="dxa"/>
        <w:left w:w="108" w:type="dxa"/>
        <w:bottom w:w="100"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top w:w="100" w:type="dxa"/>
        <w:left w:w="108" w:type="dxa"/>
        <w:bottom w:w="100" w:type="dxa"/>
        <w:right w:w="108"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tblPr>
      <w:tblStyleRowBandSize w:val="1"/>
      <w:tblStyleColBandSize w:val="1"/>
      <w:tblCellMar>
        <w:top w:w="100" w:type="dxa"/>
        <w:left w:w="108" w:type="dxa"/>
        <w:bottom w:w="100" w:type="dxa"/>
        <w:right w:w="108" w:type="dxa"/>
      </w:tblCellMar>
    </w:tbl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basedOn w:val="a0"/>
    <w:link w:val="af5"/>
    <w:uiPriority w:val="99"/>
    <w:semiHidden/>
    <w:rPr>
      <w:sz w:val="20"/>
      <w:szCs w:val="20"/>
    </w:rPr>
  </w:style>
  <w:style w:type="character" w:styleId="af7">
    <w:name w:val="annotation reference"/>
    <w:basedOn w:val="a0"/>
    <w:uiPriority w:val="99"/>
    <w:semiHidden/>
    <w:unhideWhenUsed/>
    <w:rPr>
      <w:sz w:val="16"/>
      <w:szCs w:val="16"/>
    </w:rPr>
  </w:style>
  <w:style w:type="paragraph" w:styleId="af8">
    <w:name w:val="List Paragraph"/>
    <w:basedOn w:val="a"/>
    <w:uiPriority w:val="34"/>
    <w:qFormat/>
    <w:rsid w:val="00552430"/>
    <w:pPr>
      <w:ind w:left="720"/>
      <w:contextualSpacing/>
    </w:pPr>
  </w:style>
  <w:style w:type="table" w:styleId="af9">
    <w:name w:val="Table Grid"/>
    <w:basedOn w:val="a1"/>
    <w:uiPriority w:val="39"/>
    <w:rsid w:val="00021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6001F5"/>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6001F5"/>
    <w:rPr>
      <w:rFonts w:ascii="Segoe UI" w:hAnsi="Segoe UI" w:cs="Segoe UI"/>
      <w:sz w:val="18"/>
      <w:szCs w:val="18"/>
    </w:rPr>
  </w:style>
  <w:style w:type="character" w:styleId="afc">
    <w:name w:val="Hyperlink"/>
    <w:basedOn w:val="a0"/>
    <w:uiPriority w:val="99"/>
    <w:semiHidden/>
    <w:unhideWhenUsed/>
    <w:rsid w:val="00B74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8882">
      <w:bodyDiv w:val="1"/>
      <w:marLeft w:val="0"/>
      <w:marRight w:val="0"/>
      <w:marTop w:val="0"/>
      <w:marBottom w:val="0"/>
      <w:divBdr>
        <w:top w:val="none" w:sz="0" w:space="0" w:color="auto"/>
        <w:left w:val="none" w:sz="0" w:space="0" w:color="auto"/>
        <w:bottom w:val="none" w:sz="0" w:space="0" w:color="auto"/>
        <w:right w:val="none" w:sz="0" w:space="0" w:color="auto"/>
      </w:divBdr>
    </w:div>
    <w:div w:id="788281392">
      <w:bodyDiv w:val="1"/>
      <w:marLeft w:val="0"/>
      <w:marRight w:val="0"/>
      <w:marTop w:val="0"/>
      <w:marBottom w:val="0"/>
      <w:divBdr>
        <w:top w:val="none" w:sz="0" w:space="0" w:color="auto"/>
        <w:left w:val="none" w:sz="0" w:space="0" w:color="auto"/>
        <w:bottom w:val="none" w:sz="0" w:space="0" w:color="auto"/>
        <w:right w:val="none" w:sz="0" w:space="0" w:color="auto"/>
      </w:divBdr>
    </w:div>
    <w:div w:id="957184077">
      <w:bodyDiv w:val="1"/>
      <w:marLeft w:val="0"/>
      <w:marRight w:val="0"/>
      <w:marTop w:val="0"/>
      <w:marBottom w:val="0"/>
      <w:divBdr>
        <w:top w:val="none" w:sz="0" w:space="0" w:color="auto"/>
        <w:left w:val="none" w:sz="0" w:space="0" w:color="auto"/>
        <w:bottom w:val="none" w:sz="0" w:space="0" w:color="auto"/>
        <w:right w:val="none" w:sz="0" w:space="0" w:color="auto"/>
      </w:divBdr>
    </w:div>
    <w:div w:id="97795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JriPdfMe2dEQ+tLP878F8iUrw==">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Yu+eQmpUxILvnkJqVMUIQa2l4LnZ4aXU4cG02cjlneDIIaC5namRneHM4AHIhMW9Iek8tdTdhMzBKUFZMU3dNZzV0QUwtQ1RNblQ4b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5602</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8</cp:revision>
  <dcterms:created xsi:type="dcterms:W3CDTF">2023-08-09T13:28:00Z</dcterms:created>
  <dcterms:modified xsi:type="dcterms:W3CDTF">2024-03-06T10:27:00Z</dcterms:modified>
</cp:coreProperties>
</file>