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ascii="Times New Roman" w:hAnsi="Times New Roman" w:cs="Times New Roman"/>
          <w:sz w:val="24"/>
          <w:szCs w:val="24"/>
          <w:lang w:val="uk-UA"/>
        </w:rPr>
        <w:t>Додаток</w:t>
      </w:r>
      <w:r>
        <w:rPr>
          <w:rFonts w:hint="default" w:ascii="Times New Roman" w:hAnsi="Times New Roman" w:cs="Times New Roman"/>
          <w:sz w:val="24"/>
          <w:szCs w:val="24"/>
          <w:lang w:val="uk-UA"/>
        </w:rPr>
        <w:t xml:space="preserve"> №5</w:t>
      </w:r>
    </w:p>
    <w:p>
      <w:pPr>
        <w:shd w:val="clear" w:color="auto" w:fill="FFFFFF"/>
        <w:wordWrap w:val="0"/>
        <w:spacing w:after="0" w:line="240" w:lineRule="auto"/>
        <w:ind w:right="71" w:firstLine="101"/>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до тендерної документації</w:t>
      </w:r>
    </w:p>
    <w:p>
      <w:pPr>
        <w:shd w:val="clear" w:color="auto" w:fill="FFFFFF"/>
        <w:spacing w:after="0" w:line="240" w:lineRule="auto"/>
        <w:ind w:right="71" w:firstLine="101"/>
        <w:jc w:val="center"/>
        <w:rPr>
          <w:rFonts w:ascii="Times New Roman" w:hAnsi="Times New Roman" w:cs="Times New Roman"/>
          <w:sz w:val="24"/>
          <w:szCs w:val="24"/>
          <w:lang w:val="uk-UA"/>
        </w:rPr>
      </w:pP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«Обласна клінічна лікарня ім.О.Ф.Гербачевського» Житомирської обласної ради в особі _______________________________________________, який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hint="default" w:ascii="Times New Roman" w:hAnsi="Times New Roman" w:cs="Times New Roman"/>
          <w:sz w:val="24"/>
          <w:szCs w:val="24"/>
          <w:lang w:val="uk-UA"/>
        </w:rPr>
        <w:t>____________________________________________________________________________________</w:t>
      </w:r>
      <w:r>
        <w:rPr>
          <w:rFonts w:hint="default" w:ascii="Times New Roman" w:hAnsi="Times New Roman"/>
          <w:b/>
          <w:sz w:val="24"/>
          <w:szCs w:val="24"/>
          <w:lang w:val="uk-UA"/>
        </w:rPr>
        <w:t xml:space="preserve">(далі - Учасник, Виконавець), </w:t>
      </w:r>
      <w:r>
        <w:rPr>
          <w:rFonts w:hint="default" w:ascii="Times New Roman" w:hAnsi="Times New Roman"/>
          <w:b w:val="0"/>
          <w:bCs/>
          <w:sz w:val="24"/>
          <w:szCs w:val="24"/>
          <w:lang w:val="uk-UA"/>
        </w:rPr>
        <w:t>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1"/>
        <w:numPr>
          <w:ilvl w:val="1"/>
          <w:numId w:val="2"/>
        </w:numPr>
        <w:shd w:val="clear" w:color="auto" w:fill="FFFFFF"/>
        <w:tabs>
          <w:tab w:val="left" w:pos="0"/>
          <w:tab w:val="left" w:pos="709"/>
          <w:tab w:val="left" w:pos="851"/>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Виконавець зобов'язується протягом 202</w:t>
      </w:r>
      <w:r>
        <w:rPr>
          <w:rFonts w:hint="default" w:ascii="Times New Roman" w:hAnsi="Times New Roman"/>
          <w:sz w:val="24"/>
          <w:szCs w:val="24"/>
          <w:lang w:val="uk-UA"/>
        </w:rPr>
        <w:t>3</w:t>
      </w:r>
      <w:r>
        <w:rPr>
          <w:rFonts w:ascii="Times New Roman" w:hAnsi="Times New Roman"/>
          <w:sz w:val="24"/>
          <w:szCs w:val="24"/>
          <w:lang w:val="uk-UA"/>
        </w:rPr>
        <w:t xml:space="preserve"> року надавати Замовникові </w:t>
      </w:r>
      <w:r>
        <w:rPr>
          <w:rFonts w:hint="default" w:ascii="Times New Roman" w:hAnsi="Times New Roman"/>
          <w:i/>
          <w:iCs/>
          <w:sz w:val="24"/>
          <w:szCs w:val="24"/>
          <w:lang w:val="uk-UA"/>
        </w:rPr>
        <w:t xml:space="preserve">«Послуги </w:t>
      </w:r>
      <w:r>
        <w:rPr>
          <w:rFonts w:hint="default" w:ascii="Times New Roman" w:hAnsi="Times New Roman"/>
          <w:i/>
          <w:iCs/>
          <w:sz w:val="24"/>
          <w:szCs w:val="24"/>
          <w:lang w:val="ru-RU"/>
        </w:rPr>
        <w:t xml:space="preserve">з </w:t>
      </w:r>
      <w:r>
        <w:rPr>
          <w:rFonts w:ascii="Times New Roman" w:hAnsi="Times New Roman" w:cs="Times New Roman"/>
          <w:i/>
          <w:iCs/>
          <w:sz w:val="24"/>
          <w:szCs w:val="24"/>
          <w:lang w:val="uk-UA"/>
        </w:rPr>
        <w:t>Утилізація сміття (талони на захоронення сміття)</w:t>
      </w:r>
      <w:r>
        <w:rPr>
          <w:rFonts w:ascii="Times New Roman" w:hAnsi="Times New Roman"/>
          <w:sz w:val="24"/>
          <w:szCs w:val="24"/>
          <w:lang w:val="uk-UA"/>
        </w:rPr>
        <w:t xml:space="preserve">,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 четвертої цифри</w:t>
      </w:r>
      <w:r>
        <w:rPr>
          <w:rFonts w:ascii="Times New Roman" w:hAnsi="Times New Roman"/>
          <w:sz w:val="24"/>
          <w:szCs w:val="24"/>
          <w:lang w:val="uk-UA"/>
        </w:rPr>
        <w:t xml:space="preserve"> — </w:t>
      </w:r>
      <w:bookmarkStart w:id="0" w:name="_Hlk58422942"/>
      <w:r>
        <w:rPr>
          <w:rFonts w:ascii="Times New Roman" w:hAnsi="Times New Roman" w:cs="Times New Roman"/>
          <w:b/>
          <w:bCs/>
          <w:sz w:val="24"/>
          <w:szCs w:val="24"/>
          <w:lang w:val="uk-UA"/>
        </w:rPr>
        <w:t>90510000-5 «Утилізація сміття та поводження зі сміттям»</w:t>
      </w:r>
      <w:bookmarkEnd w:id="0"/>
      <w:r>
        <w:rPr>
          <w:rFonts w:hint="default" w:ascii="Times New Roman" w:hAnsi="Times New Roman" w:cs="Times New Roman"/>
          <w:b/>
          <w:bCs/>
          <w:sz w:val="24"/>
          <w:szCs w:val="24"/>
          <w:lang w:val="ru-RU"/>
        </w:rPr>
        <w:t>.</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hint="default" w:ascii="Times New Roman" w:hAnsi="Times New Roman"/>
          <w:sz w:val="24"/>
          <w:szCs w:val="24"/>
          <w:lang w:val="uk-UA"/>
        </w:rPr>
      </w:pPr>
      <w:r>
        <w:rPr>
          <w:rFonts w:hint="default" w:ascii="Times New Roman" w:hAnsi="Times New Roman"/>
          <w:sz w:val="24"/>
          <w:szCs w:val="24"/>
          <w:lang w:val="uk-UA"/>
        </w:rPr>
        <w:t>Кількість та ціна послуг, що надаються, зазначаються в специфікації, яка є невід'ємною частиною договору (Додаток №1).</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hint="default" w:ascii="Times New Roman" w:hAnsi="Times New Roman"/>
          <w:sz w:val="24"/>
          <w:szCs w:val="24"/>
          <w:lang w:val="uk-UA"/>
        </w:rPr>
      </w:pPr>
      <w:r>
        <w:rPr>
          <w:rFonts w:hint="default" w:ascii="Times New Roman" w:hAnsi="Times New Roman"/>
          <w:sz w:val="24"/>
          <w:szCs w:val="24"/>
          <w:lang w:val="uk-UA"/>
        </w:rPr>
        <w:t>Послуги передбачені умовами п. l.2. даного Договору надаються Виконавцем Замовнику протягом дії Договору.</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hint="default" w:ascii="Times New Roman" w:hAnsi="Times New Roman"/>
          <w:sz w:val="24"/>
          <w:szCs w:val="24"/>
          <w:lang w:val="uk-UA"/>
        </w:rPr>
      </w:pPr>
      <w:r>
        <w:rPr>
          <w:rFonts w:hint="default" w:ascii="Times New Roman" w:hAnsi="Times New Roman"/>
          <w:sz w:val="24"/>
          <w:szCs w:val="24"/>
          <w:lang w:val="uk-UA"/>
        </w:rPr>
        <w:t>Замовник залишає за собою право зменшити обсяг закупівлі послуг залежно від реального фінансування видатків.</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sz w:val="24"/>
          <w:szCs w:val="24"/>
          <w:lang w:val="uk-UA"/>
        </w:rPr>
      </w:pPr>
      <w:r>
        <w:rPr>
          <w:rFonts w:hint="default" w:ascii="Times New Roman" w:hAnsi="Times New Roman"/>
          <w:sz w:val="24"/>
          <w:szCs w:val="24"/>
          <w:lang w:val="uk-UA"/>
        </w:rPr>
        <w:t>Підписанням цього Договору Виконавець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firstLine="426"/>
        <w:jc w:val="both"/>
        <w:rPr>
          <w:rFonts w:ascii="Times New Roman" w:hAnsi="Times New Roman"/>
          <w:b/>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Учаснику.</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hint="default" w:ascii="Times New Roman" w:hAnsi="Times New Roman"/>
          <w:i w:val="0"/>
          <w:color w:val="auto"/>
          <w:spacing w:val="0"/>
          <w:lang w:val="uk-UA" w:bidi="en-US"/>
        </w:rPr>
        <w:t>_________________________________________________</w:t>
      </w:r>
      <w:r>
        <w:rPr>
          <w:rFonts w:ascii="Times New Roman" w:hAnsi="Times New Roman"/>
          <w:i w:val="0"/>
          <w:color w:val="auto"/>
          <w:spacing w:val="0"/>
          <w:lang w:val="uk-UA" w:bidi="en-US"/>
        </w:rPr>
        <w:t xml:space="preserve"> в т.ч. ПДВ, грн.: </w:t>
      </w:r>
      <w:r>
        <w:rPr>
          <w:rFonts w:hint="default" w:ascii="Times New Roman" w:hAnsi="Times New Roman"/>
          <w:i w:val="0"/>
          <w:color w:val="auto"/>
          <w:spacing w:val="0"/>
          <w:lang w:val="uk-UA" w:bidi="en-US"/>
        </w:rPr>
        <w:t>________________________________</w:t>
      </w:r>
      <w:r>
        <w:rPr>
          <w:rFonts w:ascii="Times New Roman" w:hAnsi="Times New Roman"/>
          <w:i w:val="0"/>
          <w:color w:val="auto"/>
          <w:spacing w:val="0"/>
          <w:lang w:val="uk-UA" w:bidi="en-US"/>
        </w:rPr>
        <w:t>.</w:t>
      </w:r>
    </w:p>
    <w:p>
      <w:pPr>
        <w:ind w:firstLine="708" w:firstLineChars="0"/>
        <w:jc w:val="both"/>
        <w:rPr>
          <w:sz w:val="24"/>
          <w:szCs w:val="24"/>
          <w:lang w:val="uk-UA"/>
        </w:rPr>
      </w:pPr>
      <w:bookmarkStart w:id="1" w:name="_GoBack"/>
      <w:bookmarkEnd w:id="1"/>
      <w:r>
        <w:rPr>
          <w:rFonts w:hint="default" w:ascii="Times New Roman" w:hAnsi="Times New Roman" w:eastAsia="Times New Roman" w:cs="Times New Roman"/>
          <w:bCs/>
          <w:i/>
          <w:iCs/>
          <w:sz w:val="24"/>
          <w:szCs w:val="24"/>
          <w:lang w:val="uk-UA"/>
        </w:rPr>
        <w:t xml:space="preserve">Сума для реєстрації в органах казначейства становить </w:t>
      </w:r>
      <w:r>
        <w:rPr>
          <w:rFonts w:hint="default" w:ascii="Times New Roman" w:hAnsi="Times New Roman" w:eastAsia="Times New Roman" w:cs="Times New Roman"/>
          <w:bCs/>
          <w:i/>
          <w:iCs/>
          <w:sz w:val="24"/>
          <w:szCs w:val="24"/>
          <w:lang w:val="en-US"/>
        </w:rPr>
        <w:t>____________________</w:t>
      </w:r>
      <w:r>
        <w:rPr>
          <w:rFonts w:hint="default" w:ascii="Times New Roman" w:hAnsi="Times New Roman" w:eastAsia="Times New Roman" w:cs="Times New Roman"/>
          <w:bCs/>
          <w:i/>
          <w:iCs/>
          <w:sz w:val="24"/>
          <w:szCs w:val="24"/>
          <w:lang w:val="uk-UA"/>
        </w:rPr>
        <w:t xml:space="preserve"> грн. Сума для реєстрації в установах банку становить </w:t>
      </w:r>
      <w:r>
        <w:rPr>
          <w:rFonts w:hint="default" w:ascii="Times New Roman" w:hAnsi="Times New Roman" w:eastAsia="Times New Roman" w:cs="Times New Roman"/>
          <w:bCs/>
          <w:i/>
          <w:iCs/>
          <w:sz w:val="24"/>
          <w:szCs w:val="24"/>
          <w:lang w:val="en-US"/>
        </w:rPr>
        <w:t>_________________</w:t>
      </w:r>
      <w:r>
        <w:rPr>
          <w:rFonts w:hint="default" w:ascii="Times New Roman" w:hAnsi="Times New Roman" w:eastAsia="Times New Roman" w:cs="Times New Roman"/>
          <w:bCs/>
          <w:i/>
          <w:iCs/>
          <w:sz w:val="24"/>
          <w:szCs w:val="24"/>
          <w:lang w:val="uk-UA"/>
        </w:rPr>
        <w:t xml:space="preserve"> грн.</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9"/>
        <w:shd w:val="clear" w:color="auto" w:fill="FFFFFF"/>
        <w:spacing w:before="0" w:after="0" w:line="240" w:lineRule="auto"/>
        <w:ind w:firstLine="426"/>
        <w:jc w:val="both"/>
        <w:textAlignment w:val="baseline"/>
        <w:rPr>
          <w:color w:val="000000"/>
          <w:shd w:val="clear" w:color="auto" w:fill="FFFFFF"/>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пред’явлення Учасником акту виконаних (наданих)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30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5.1. Термін надання послуг: до 31 грудня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426"/>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Виконавцем, 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Виконавець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Виконавець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Виконавець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7.2.1. За порушення строків (термінів) виконання зобов’язання з Виконавця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7.2.2 За порушення Виконавцем умов зобов’язання щодо якості послуг, Виконавець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7.3.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cs="Times New Roman"/>
          <w:sz w:val="24"/>
          <w:szCs w:val="24"/>
          <w:lang w:val="uk-UA"/>
        </w:rPr>
        <w:t>8.1.</w:t>
      </w:r>
      <w:r>
        <w:rPr>
          <w:rFonts w:hint="default" w:ascii="Times New Roman" w:hAnsi="Times New Roman"/>
          <w:sz w:val="24"/>
          <w:szCs w:val="24"/>
          <w:lang w:val="uk-UA"/>
        </w:rPr>
        <w:t xml:space="preserve"> 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8.2. 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8.5.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4"/>
        <w:ind w:firstLine="426"/>
        <w:rPr>
          <w:rFonts w:ascii="Times New Roman" w:hAnsi="Times New Roman" w:cs="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uk-UA"/>
        </w:rPr>
        <w:t>3</w:t>
      </w:r>
      <w:r>
        <w:rPr>
          <w:rFonts w:ascii="Times New Roman" w:hAnsi="Times New Roman"/>
          <w:sz w:val="24"/>
          <w:szCs w:val="24"/>
          <w:lang w:val="uk-UA"/>
        </w:rPr>
        <w:t xml:space="preserve"> року, але в будь-якому разі до повного виконання обов’язків Сторін.  </w:t>
      </w:r>
      <w:r>
        <w:rPr>
          <w:rFonts w:ascii="Times New Roman" w:hAnsi="Times New Roman" w:cs="Times New Roman"/>
          <w:sz w:val="24"/>
          <w:szCs w:val="24"/>
          <w:lang w:val="uk-UA"/>
        </w:rPr>
        <w:tab/>
      </w:r>
      <w:r>
        <w:rPr>
          <w:rFonts w:ascii="Times New Roman" w:hAnsi="Times New Roman" w:cs="Times New Roman"/>
          <w:sz w:val="24"/>
          <w:szCs w:val="24"/>
          <w:lang w:val="uk-UA"/>
        </w:rPr>
        <w:tab/>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безписьмової згоди іншої сторони.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припиняється:</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pPr>
        <w:tabs>
          <w:tab w:val="left" w:pos="426"/>
        </w:tabs>
        <w:spacing w:after="0" w:line="240" w:lineRule="auto"/>
        <w:jc w:val="both"/>
        <w:rPr>
          <w:rFonts w:hint="default" w:ascii="Times New Roman" w:hAnsi="Times New Roman"/>
          <w:color w:val="0000FF"/>
          <w:sz w:val="24"/>
          <w:szCs w:val="24"/>
          <w:lang w:val="uk-UA"/>
        </w:rPr>
      </w:pPr>
      <w:r>
        <w:rPr>
          <w:rFonts w:hint="default" w:ascii="Times New Roman" w:hAnsi="Times New Roman"/>
          <w:sz w:val="24"/>
          <w:szCs w:val="24"/>
          <w:lang w:val="uk-UA"/>
        </w:rPr>
        <w:t xml:space="preserve">- електронна пошта Замовника: </w:t>
      </w:r>
      <w:r>
        <w:rPr>
          <w:rFonts w:hint="default" w:ascii="Times New Roman" w:hAnsi="Times New Roman"/>
          <w:color w:val="0000FF"/>
          <w:sz w:val="24"/>
          <w:szCs w:val="24"/>
          <w:lang w:val="uk-UA"/>
        </w:rPr>
        <w:t>centrmonitoringu2021@gmail.com </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jc w:val="both"/>
        <w:rPr>
          <w:rFonts w:ascii="Times New Roman" w:hAnsi="Times New Roman" w:cs="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r>
        <w:rPr>
          <w:rFonts w:ascii="Times New Roman" w:hAnsi="Times New Roman" w:cs="Times New Roman"/>
          <w:sz w:val="24"/>
          <w:szCs w:val="24"/>
          <w:lang w:val="uk-UA"/>
        </w:rPr>
        <w:tab/>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«Калькуляція».</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491" w:type="dxa"/>
        <w:tblInd w:w="-318" w:type="dxa"/>
        <w:tblLayout w:type="autofit"/>
        <w:tblCellMar>
          <w:top w:w="0" w:type="dxa"/>
          <w:left w:w="108" w:type="dxa"/>
          <w:bottom w:w="0" w:type="dxa"/>
          <w:right w:w="108" w:type="dxa"/>
        </w:tblCellMar>
      </w:tblPr>
      <w:tblGrid>
        <w:gridCol w:w="5280"/>
        <w:gridCol w:w="5211"/>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uk-UA"/>
              </w:rPr>
              <w:t>тел.(0412) 43-87-40</w:t>
            </w:r>
            <w:r>
              <w:rPr>
                <w:rFonts w:hint="default" w:ascii="Times New Roman" w:hAnsi="Times New Roman" w:cs="Times New Roman"/>
                <w:sz w:val="24"/>
                <w:szCs w:val="24"/>
                <w:lang w:val="ru-RU"/>
              </w:rPr>
              <w:t>; 43-08-10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jc w:val="right"/>
        <w:rPr>
          <w:rFonts w:ascii="Times New Roman" w:hAnsi="Times New Roman" w:cs="Times New Roman"/>
          <w:b/>
          <w:sz w:val="24"/>
          <w:szCs w:val="24"/>
          <w:lang w:val="uk-UA"/>
        </w:rPr>
        <w:sectPr>
          <w:pgSz w:w="11906" w:h="16838"/>
          <w:pgMar w:top="851" w:right="850" w:bottom="851"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3</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 А Л Ь К У Л Я Ц І Я</w:t>
      </w:r>
    </w:p>
    <w:tbl>
      <w:tblPr>
        <w:tblStyle w:val="3"/>
        <w:tblW w:w="4973"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416"/>
        <w:gridCol w:w="1074"/>
        <w:gridCol w:w="930"/>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159"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5"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45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71"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ind w:left="-108"/>
              <w:jc w:val="center"/>
              <w:rPr>
                <w:rFonts w:ascii="Times New Roman" w:hAnsi="Times New Roman" w:cs="Times New Roman"/>
                <w:b/>
                <w:sz w:val="24"/>
                <w:szCs w:val="24"/>
                <w:lang w:val="uk-UA" w:bidi="en-US"/>
              </w:rPr>
            </w:pPr>
            <w:r>
              <w:rPr>
                <w:rFonts w:ascii="Times New Roman" w:hAnsi="Times New Roman" w:cs="Times New Roman"/>
                <w:b/>
                <w:bCs/>
                <w:sz w:val="24"/>
                <w:szCs w:val="24"/>
                <w:lang w:val="uk-UA"/>
              </w:rPr>
              <w:t>90510000-5 «Утилізація сміття та поводження зі сміттям»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75" w:type="pct"/>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59" w:type="pct"/>
            <w:shd w:val="clear" w:color="auto" w:fill="auto"/>
            <w:vAlign w:val="center"/>
          </w:tcPr>
          <w:p>
            <w:pPr>
              <w:spacing w:after="0" w:line="240" w:lineRule="auto"/>
              <w:rPr>
                <w:rFonts w:ascii="Times New Roman" w:hAnsi="Times New Roman" w:cs="Times New Roman"/>
                <w:iCs/>
                <w:color w:val="000000"/>
                <w:sz w:val="24"/>
                <w:szCs w:val="24"/>
                <w:lang w:val="uk-UA"/>
              </w:rPr>
            </w:pPr>
            <w:r>
              <w:rPr>
                <w:rFonts w:ascii="Times New Roman" w:hAnsi="Times New Roman" w:cs="Times New Roman"/>
              </w:rPr>
              <w:t>Утилізація сміття (талони на захоронення сміття)</w:t>
            </w:r>
          </w:p>
        </w:tc>
        <w:tc>
          <w:tcPr>
            <w:tcW w:w="525" w:type="pct"/>
            <w:shd w:val="clear" w:color="auto" w:fill="auto"/>
            <w:vAlign w:val="center"/>
          </w:tcPr>
          <w:p>
            <w:pPr>
              <w:shd w:val="clear" w:color="auto" w:fill="FFFFFF"/>
              <w:spacing w:after="0" w:line="240" w:lineRule="auto"/>
              <w:jc w:val="center"/>
              <w:rPr>
                <w:rFonts w:hint="default" w:ascii="Times New Roman" w:hAnsi="Times New Roman" w:cs="Times New Roman"/>
                <w:color w:val="000000"/>
                <w:sz w:val="24"/>
                <w:szCs w:val="24"/>
                <w:lang w:val="ru-RU"/>
              </w:rPr>
            </w:pPr>
            <w:r>
              <w:rPr>
                <w:rFonts w:ascii="Times New Roman" w:hAnsi="Times New Roman" w:cs="Times New Roman"/>
                <w:sz w:val="24"/>
                <w:szCs w:val="24"/>
                <w:lang w:val="uk-UA" w:bidi="en-US"/>
              </w:rPr>
              <w:t>м</w:t>
            </w:r>
            <w:r>
              <w:rPr>
                <w:rFonts w:ascii="Times New Roman" w:hAnsi="Times New Roman" w:cs="Times New Roman"/>
                <w:sz w:val="24"/>
                <w:szCs w:val="24"/>
                <w:vertAlign w:val="superscript"/>
                <w:lang w:val="uk-UA" w:bidi="en-US"/>
              </w:rPr>
              <w:t>3</w:t>
            </w:r>
          </w:p>
        </w:tc>
        <w:tc>
          <w:tcPr>
            <w:tcW w:w="454" w:type="pct"/>
            <w:shd w:val="clear" w:color="auto" w:fill="auto"/>
            <w:vAlign w:val="center"/>
          </w:tcPr>
          <w:p>
            <w:pPr>
              <w:shd w:val="clear" w:color="auto" w:fill="FFFFFF"/>
              <w:spacing w:after="0" w:line="240" w:lineRule="auto"/>
              <w:jc w:val="center"/>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3000</w:t>
            </w:r>
          </w:p>
        </w:tc>
        <w:tc>
          <w:tcPr>
            <w:tcW w:w="814" w:type="pct"/>
            <w:shd w:val="clear" w:color="auto" w:fill="auto"/>
            <w:vAlign w:val="center"/>
          </w:tcPr>
          <w:p>
            <w:pPr>
              <w:spacing w:after="0" w:line="240" w:lineRule="auto"/>
              <w:jc w:val="center"/>
              <w:rPr>
                <w:rFonts w:hint="default" w:ascii="Times New Roman" w:hAnsi="Times New Roman" w:cs="Times New Roman"/>
                <w:b w:val="0"/>
                <w:bCs/>
                <w:sz w:val="24"/>
                <w:szCs w:val="24"/>
                <w:lang w:val="uk-UA" w:bidi="en-US"/>
              </w:rPr>
            </w:pPr>
          </w:p>
        </w:tc>
        <w:tc>
          <w:tcPr>
            <w:tcW w:w="771" w:type="pct"/>
            <w:vAlign w:val="center"/>
          </w:tcPr>
          <w:p>
            <w:pPr>
              <w:spacing w:after="0" w:line="240" w:lineRule="auto"/>
              <w:ind w:left="-108"/>
              <w:jc w:val="center"/>
              <w:rPr>
                <w:rFonts w:hint="default" w:ascii="Times New Roman" w:hAnsi="Times New Roman" w:cs="Times New Roman"/>
                <w:b w:val="0"/>
                <w:bCs/>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8"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71" w:type="pct"/>
            <w:shd w:val="clear" w:color="auto" w:fill="auto"/>
          </w:tcPr>
          <w:p>
            <w:pPr>
              <w:spacing w:after="0" w:line="240" w:lineRule="auto"/>
              <w:rPr>
                <w:rFonts w:hint="default"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rFonts w:ascii="Times New Roman" w:hAnsi="Times New Roman" w:cs="Times New Roman"/>
          <w:sz w:val="24"/>
          <w:szCs w:val="24"/>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D185E"/>
    <w:rsid w:val="001F6402"/>
    <w:rsid w:val="002439CA"/>
    <w:rsid w:val="00245534"/>
    <w:rsid w:val="00272351"/>
    <w:rsid w:val="002B495F"/>
    <w:rsid w:val="003B69F9"/>
    <w:rsid w:val="003E79E6"/>
    <w:rsid w:val="003F014F"/>
    <w:rsid w:val="00413E27"/>
    <w:rsid w:val="00472078"/>
    <w:rsid w:val="004A26FC"/>
    <w:rsid w:val="00510B6C"/>
    <w:rsid w:val="00553533"/>
    <w:rsid w:val="005C192D"/>
    <w:rsid w:val="00697697"/>
    <w:rsid w:val="00700757"/>
    <w:rsid w:val="00736095"/>
    <w:rsid w:val="00775B4E"/>
    <w:rsid w:val="007D470F"/>
    <w:rsid w:val="007D7F6F"/>
    <w:rsid w:val="0080246A"/>
    <w:rsid w:val="00835E8A"/>
    <w:rsid w:val="00875F01"/>
    <w:rsid w:val="008E34D0"/>
    <w:rsid w:val="00931108"/>
    <w:rsid w:val="00932290"/>
    <w:rsid w:val="009C12F3"/>
    <w:rsid w:val="009C2DE2"/>
    <w:rsid w:val="009C6AB1"/>
    <w:rsid w:val="009F56C3"/>
    <w:rsid w:val="00A91CB9"/>
    <w:rsid w:val="00AD1A81"/>
    <w:rsid w:val="00B12631"/>
    <w:rsid w:val="00B84C77"/>
    <w:rsid w:val="00B95736"/>
    <w:rsid w:val="00BD3BFD"/>
    <w:rsid w:val="00BF0C8C"/>
    <w:rsid w:val="00C76455"/>
    <w:rsid w:val="00CB2951"/>
    <w:rsid w:val="00CD3D3B"/>
    <w:rsid w:val="00D45E10"/>
    <w:rsid w:val="00D60C60"/>
    <w:rsid w:val="00DA56D9"/>
    <w:rsid w:val="00DE1635"/>
    <w:rsid w:val="00E31159"/>
    <w:rsid w:val="00E5288D"/>
    <w:rsid w:val="00E92543"/>
    <w:rsid w:val="00F163FE"/>
    <w:rsid w:val="00F36A80"/>
    <w:rsid w:val="00F76B8C"/>
    <w:rsid w:val="00F964D4"/>
    <w:rsid w:val="00FB0888"/>
    <w:rsid w:val="00FE752E"/>
    <w:rsid w:val="00FF7F97"/>
    <w:rsid w:val="04446205"/>
    <w:rsid w:val="07E6312F"/>
    <w:rsid w:val="12ED1816"/>
    <w:rsid w:val="16C3120C"/>
    <w:rsid w:val="19B25E0C"/>
    <w:rsid w:val="22AB3786"/>
    <w:rsid w:val="28686F3D"/>
    <w:rsid w:val="3A74177B"/>
    <w:rsid w:val="3F716906"/>
    <w:rsid w:val="450665E4"/>
    <w:rsid w:val="45156827"/>
    <w:rsid w:val="45C06CBB"/>
    <w:rsid w:val="562A4416"/>
    <w:rsid w:val="5FC23BC4"/>
    <w:rsid w:val="632C7347"/>
    <w:rsid w:val="63FA3A9D"/>
    <w:rsid w:val="689773CF"/>
    <w:rsid w:val="747D5929"/>
    <w:rsid w:val="755868B8"/>
    <w:rsid w:val="7CE16A1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і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и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у виносці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8042</Words>
  <Characters>4584</Characters>
  <Lines>38</Lines>
  <Paragraphs>25</Paragraphs>
  <TotalTime>2</TotalTime>
  <ScaleCrop>false</ScaleCrop>
  <LinksUpToDate>false</LinksUpToDate>
  <CharactersWithSpaces>12601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2022-01-04T15:22:00Z</dcterms:created>
  <dc:creator>Пользователь Windows</dc:creator>
  <cp:lastModifiedBy>Kabinet_812_2</cp:lastModifiedBy>
  <cp:lastPrinted>2022-02-21T09:57:00Z</cp:lastPrinted>
  <dcterms:modified xsi:type="dcterms:W3CDTF">2023-03-16T08:07:23Z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105FD84684E74103A79382FE6DCBD8A3</vt:lpwstr>
  </property>
</Properties>
</file>