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B" w:rsidRDefault="00CE5FBB" w:rsidP="00CE5FBB">
      <w:pPr>
        <w:jc w:val="center"/>
        <w:rPr>
          <w:b/>
        </w:rPr>
      </w:pPr>
      <w:r w:rsidRPr="00382483">
        <w:rPr>
          <w:b/>
        </w:rPr>
        <w:t>Інформація про вимоги до кваліфікації Учасників та способу їх підтвердження.</w:t>
      </w:r>
    </w:p>
    <w:p w:rsidR="00CE5FBB" w:rsidRPr="00382483" w:rsidRDefault="00CE5FBB" w:rsidP="00CE5FBB">
      <w:pPr>
        <w:jc w:val="center"/>
        <w:rPr>
          <w:b/>
        </w:rPr>
      </w:pPr>
    </w:p>
    <w:p w:rsidR="00CE5FBB" w:rsidRPr="00382483" w:rsidRDefault="00CE5FBB" w:rsidP="00CE5FBB">
      <w:pPr>
        <w:widowControl w:val="0"/>
        <w:ind w:left="34" w:right="113" w:hanging="21"/>
        <w:contextualSpacing/>
        <w:jc w:val="both"/>
        <w:rPr>
          <w:u w:val="single"/>
        </w:rPr>
      </w:pPr>
      <w:r w:rsidRPr="007B5B12">
        <w:rPr>
          <w:b/>
        </w:rPr>
        <w:t>1.</w:t>
      </w:r>
      <w:r>
        <w:t> </w:t>
      </w:r>
      <w:r w:rsidRPr="00382483">
        <w:rPr>
          <w:color w:val="000000"/>
        </w:rPr>
        <w:t>Учасник повинен надати в електронному (сканованому) вигляді в складі своєї пропозиції</w:t>
      </w:r>
      <w:r>
        <w:rPr>
          <w:color w:val="000000"/>
        </w:rPr>
        <w:t xml:space="preserve"> інформацію,</w:t>
      </w:r>
      <w:r w:rsidRPr="00382483">
        <w:rPr>
          <w:color w:val="000000"/>
        </w:rPr>
        <w:t xml:space="preserve"> </w:t>
      </w:r>
      <w:r>
        <w:rPr>
          <w:color w:val="000000"/>
        </w:rPr>
        <w:t>копії документів</w:t>
      </w:r>
      <w:r w:rsidRPr="00382483">
        <w:rPr>
          <w:color w:val="000000"/>
        </w:rPr>
        <w:t>:</w:t>
      </w:r>
    </w:p>
    <w:p w:rsidR="00CE5FBB" w:rsidRDefault="00CE5FBB" w:rsidP="00CE5FBB">
      <w:pPr>
        <w:pStyle w:val="rvps2"/>
        <w:shd w:val="clear" w:color="auto" w:fill="FFFFFF"/>
        <w:spacing w:before="0" w:beforeAutospacing="0" w:after="0" w:afterAutospacing="0"/>
        <w:ind w:right="113"/>
        <w:jc w:val="both"/>
        <w:textAlignment w:val="baseline"/>
        <w:rPr>
          <w:b/>
        </w:rPr>
      </w:pPr>
    </w:p>
    <w:p w:rsidR="00CE5FBB" w:rsidRDefault="00CE5FBB" w:rsidP="00CE5FBB">
      <w:pPr>
        <w:pStyle w:val="rvps2"/>
        <w:shd w:val="clear" w:color="auto" w:fill="FFFFFF"/>
        <w:spacing w:before="0" w:beforeAutospacing="0" w:after="0" w:afterAutospacing="0"/>
        <w:ind w:right="113"/>
        <w:jc w:val="both"/>
        <w:textAlignment w:val="baseline"/>
      </w:pPr>
      <w:r w:rsidRPr="00382483">
        <w:rPr>
          <w:b/>
        </w:rPr>
        <w:t>1.1</w:t>
      </w:r>
      <w:r>
        <w:rPr>
          <w:b/>
        </w:rPr>
        <w:t>.</w:t>
      </w:r>
      <w:r w:rsidRPr="00382483">
        <w:rPr>
          <w:b/>
        </w:rPr>
        <w:t> </w:t>
      </w:r>
      <w:r>
        <w:rPr>
          <w:b/>
        </w:rPr>
        <w:t>Інформаці</w:t>
      </w:r>
      <w:r w:rsidRPr="00382483">
        <w:rPr>
          <w:b/>
        </w:rPr>
        <w:t xml:space="preserve">ю щодо відповідності учасника вимогам, визначеним у </w:t>
      </w:r>
      <w:r w:rsidRPr="00772031">
        <w:rPr>
          <w:b/>
        </w:rPr>
        <w:t>статті 17 Закону</w:t>
      </w:r>
      <w:r w:rsidRPr="00772031">
        <w:t>,</w:t>
      </w:r>
      <w:r w:rsidRPr="00382483">
        <w:t xml:space="preserve"> а саме</w:t>
      </w:r>
      <w:r>
        <w:t>:</w:t>
      </w:r>
    </w:p>
    <w:p w:rsidR="00CE5FBB" w:rsidRPr="006B2D9D" w:rsidRDefault="00CE5FBB" w:rsidP="00CE5FBB">
      <w:pPr>
        <w:widowControl w:val="0"/>
        <w:ind w:left="1" w:right="113"/>
        <w:contextualSpacing/>
        <w:jc w:val="both"/>
      </w:pPr>
      <w:r w:rsidRPr="006B2D9D">
        <w:rPr>
          <w:b/>
          <w:u w:val="single"/>
        </w:rPr>
        <w:t>довідка, складена у довільній формі</w:t>
      </w:r>
      <w:r w:rsidRPr="006B2D9D">
        <w:t xml:space="preserve">, яка містить відомості про наявність чи відсутність підстав, передбачених пунктами 5, 6, 12 і 13 ч. 1 та ч. 2 ст. 17 Закону, </w:t>
      </w:r>
    </w:p>
    <w:p w:rsidR="00CE5FBB" w:rsidRPr="009F3F0D" w:rsidRDefault="00CE5FBB" w:rsidP="00CE5FBB">
      <w:pPr>
        <w:pStyle w:val="rvps2"/>
        <w:shd w:val="clear" w:color="auto" w:fill="FFFFFF"/>
        <w:spacing w:before="0" w:beforeAutospacing="0" w:after="0" w:afterAutospacing="0"/>
        <w:ind w:right="113" w:firstLine="450"/>
        <w:jc w:val="both"/>
        <w:textAlignment w:val="baseline"/>
      </w:pPr>
      <w:r w:rsidRPr="006B2D9D">
        <w:t>Інформація про відсутність підстав, визначених у ст.</w:t>
      </w:r>
      <w:r w:rsidRPr="006B2D9D">
        <w:rPr>
          <w:lang w:val="en-US"/>
        </w:rPr>
        <w:t> </w:t>
      </w:r>
      <w:r w:rsidRPr="006B2D9D">
        <w:t>17 Закону (вказаних у п. </w:t>
      </w:r>
      <w:r>
        <w:t>5.</w:t>
      </w:r>
      <w:r w:rsidRPr="006B2D9D">
        <w:t>1.2 ц</w:t>
      </w:r>
      <w:r>
        <w:t>ього Оголошення</w:t>
      </w:r>
      <w:r w:rsidRPr="006B2D9D">
        <w:t xml:space="preserve">), подається </w:t>
      </w:r>
      <w:r>
        <w:t>У</w:t>
      </w:r>
      <w:r w:rsidRPr="006B2D9D">
        <w:t>часником у довільній формі однією довідкою із виокремленням кожної підстави.</w:t>
      </w:r>
    </w:p>
    <w:p w:rsidR="00CE5FBB" w:rsidRPr="009F3F0D" w:rsidRDefault="00243FB6" w:rsidP="00CE5FBB">
      <w:pPr>
        <w:widowControl w:val="0"/>
        <w:ind w:left="34" w:right="113"/>
        <w:contextualSpacing/>
        <w:jc w:val="both"/>
        <w:rPr>
          <w:rStyle w:val="rvts0"/>
        </w:rPr>
      </w:pPr>
      <w:r>
        <w:rPr>
          <w:rStyle w:val="rvts0"/>
          <w:b/>
          <w:lang w:val="ru-RU"/>
        </w:rPr>
        <w:t>1.2</w:t>
      </w:r>
      <w:r w:rsidR="00CE5FBB">
        <w:rPr>
          <w:rStyle w:val="rvts0"/>
          <w:b/>
          <w:lang w:val="ru-RU"/>
        </w:rPr>
        <w:t>. </w:t>
      </w:r>
      <w:r w:rsidR="00CE5FBB" w:rsidRPr="009F3F0D">
        <w:rPr>
          <w:rStyle w:val="rvts0"/>
        </w:rPr>
        <w:t>Документи, що підтверджують повноваження посадової особи або представника учасника процедури закупівлі щодо підпису документів пропозиції</w:t>
      </w:r>
      <w:r w:rsidR="00CE5FBB">
        <w:rPr>
          <w:rStyle w:val="rvts0"/>
        </w:rPr>
        <w:t>:</w:t>
      </w:r>
    </w:p>
    <w:p w:rsidR="00CE5FBB" w:rsidRPr="009F3F0D" w:rsidRDefault="00CE5FBB" w:rsidP="00CE5FBB">
      <w:pPr>
        <w:pStyle w:val="rvps14"/>
        <w:spacing w:before="0" w:beforeAutospacing="0" w:after="0" w:afterAutospacing="0"/>
        <w:ind w:right="113" w:firstLine="426"/>
        <w:jc w:val="both"/>
        <w:textAlignment w:val="baseline"/>
      </w:pPr>
      <w:r w:rsidRPr="009F3F0D">
        <w:t>а) для юридичних осіб - виписка чи копія протоколу засновників про призначення директора або наказ про призначення;</w:t>
      </w:r>
    </w:p>
    <w:p w:rsidR="00CE5FBB" w:rsidRPr="009F3F0D" w:rsidRDefault="00CE5FBB" w:rsidP="00CE5FBB">
      <w:pPr>
        <w:pStyle w:val="rvps14"/>
        <w:spacing w:before="0" w:beforeAutospacing="0" w:after="0" w:afterAutospacing="0"/>
        <w:ind w:right="113" w:firstLine="426"/>
        <w:jc w:val="both"/>
        <w:textAlignment w:val="baseline"/>
      </w:pPr>
      <w:r w:rsidRPr="009F3F0D">
        <w:t>б) для юридичних і фізичних осіб - довіреність на представника Учасника, якщо інтереси Учасника буде представляти довірена особа;</w:t>
      </w:r>
    </w:p>
    <w:p w:rsidR="00CE5FBB" w:rsidRPr="009F3F0D" w:rsidRDefault="00CE5FBB" w:rsidP="00CE5FBB">
      <w:pPr>
        <w:pStyle w:val="rvps14"/>
        <w:spacing w:before="0" w:beforeAutospacing="0" w:after="0" w:afterAutospacing="0"/>
        <w:ind w:right="113" w:firstLine="426"/>
        <w:jc w:val="both"/>
        <w:textAlignment w:val="baseline"/>
      </w:pPr>
      <w:r w:rsidRPr="009F3F0D">
        <w:t xml:space="preserve">в) для юридичних і фізичних осіб - лист-згода на обробку, використання, поширення та доступ до персональних даних осіб, які надають свої персональні дані (учасника або представника учасника, або посадової особи учасника) для забезпечення участі у процедурі </w:t>
      </w:r>
      <w:proofErr w:type="spellStart"/>
      <w:r w:rsidRPr="009F3F0D">
        <w:rPr>
          <w:lang w:val="ru-RU"/>
        </w:rPr>
        <w:t>закупівлі</w:t>
      </w:r>
      <w:proofErr w:type="spellEnd"/>
      <w:r w:rsidRPr="009F3F0D">
        <w:t>, цивільно-правових та господарських відносинах.</w:t>
      </w:r>
    </w:p>
    <w:p w:rsidR="00CE5FBB" w:rsidRPr="009F3F0D" w:rsidRDefault="00243FB6" w:rsidP="00CE5FBB">
      <w:pPr>
        <w:pStyle w:val="rvps14"/>
        <w:spacing w:before="0" w:beforeAutospacing="0" w:after="0" w:afterAutospacing="0"/>
        <w:ind w:right="113"/>
        <w:jc w:val="both"/>
        <w:textAlignment w:val="baseline"/>
      </w:pPr>
      <w:r>
        <w:rPr>
          <w:b/>
        </w:rPr>
        <w:t>1.3</w:t>
      </w:r>
      <w:r w:rsidR="00CE5FBB">
        <w:rPr>
          <w:b/>
          <w:lang w:val="ru-RU"/>
        </w:rPr>
        <w:t>.</w:t>
      </w:r>
      <w:r w:rsidR="00CE5FBB" w:rsidRPr="009F3F0D">
        <w:rPr>
          <w:b/>
        </w:rPr>
        <w:t> </w:t>
      </w:r>
      <w:r w:rsidR="00CE5FBB" w:rsidRPr="009F3F0D">
        <w:t xml:space="preserve">Установчі та реєстраційні документи: </w:t>
      </w:r>
    </w:p>
    <w:p w:rsidR="00CE5FBB" w:rsidRPr="000C7964" w:rsidRDefault="00CE5FBB" w:rsidP="00CE5FBB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 w:rsidRPr="000C7964">
        <w:rPr>
          <w:color w:val="000000"/>
        </w:rPr>
        <w:t>а1) для юридичних осіб - Статут або інший установчий документ, чинний на дату подання пропозицій, із змінами у разі їх наявності;</w:t>
      </w:r>
    </w:p>
    <w:p w:rsidR="00CE5FBB" w:rsidRPr="000C7964" w:rsidRDefault="00CE5FBB" w:rsidP="00CE5FBB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 w:rsidRPr="000C7964">
        <w:rPr>
          <w:color w:val="000000"/>
        </w:rPr>
        <w:t>а2) для фізичних осіб - довідка про присвоєння ідентифікаційного коду або виписка (витяг) із ЄДР з відомостями про присвоєний ідентифікаційний код;</w:t>
      </w:r>
    </w:p>
    <w:p w:rsidR="00CE5FBB" w:rsidRPr="009F3F0D" w:rsidRDefault="00CE5FBB" w:rsidP="00CE5FBB">
      <w:pPr>
        <w:tabs>
          <w:tab w:val="left" w:pos="1596"/>
        </w:tabs>
        <w:autoSpaceDE w:val="0"/>
        <w:autoSpaceDN w:val="0"/>
        <w:ind w:firstLine="426"/>
        <w:jc w:val="both"/>
      </w:pPr>
      <w:r w:rsidRPr="009F3F0D">
        <w:t>б) для юридичних і фізичних осіб - свідоцтво або витяг з Реєстру платників єдиного податку або свідоцтва або витягу з реєстру платників податку на додану вартість (відповідно до податкового статусу Учасника).</w:t>
      </w:r>
    </w:p>
    <w:p w:rsidR="00CE5FBB" w:rsidRPr="00985FDA" w:rsidRDefault="00CE5FBB" w:rsidP="00CE5FBB">
      <w:pPr>
        <w:tabs>
          <w:tab w:val="left" w:pos="1596"/>
        </w:tabs>
        <w:autoSpaceDE w:val="0"/>
        <w:autoSpaceDN w:val="0"/>
        <w:ind w:firstLine="426"/>
        <w:jc w:val="both"/>
        <w:rPr>
          <w:b/>
        </w:rPr>
      </w:pPr>
      <w:r w:rsidRPr="009F3F0D">
        <w:t xml:space="preserve">в) для юридичних і фізичних осіб загальні відомості про учасника  за </w:t>
      </w:r>
      <w:r w:rsidR="009016FE">
        <w:t xml:space="preserve">довільною </w:t>
      </w:r>
      <w:r w:rsidRPr="009F3F0D">
        <w:t>формою</w:t>
      </w:r>
      <w:r>
        <w:t>.</w:t>
      </w:r>
    </w:p>
    <w:p w:rsidR="00CE5FBB" w:rsidRPr="002861CE" w:rsidRDefault="00243FB6" w:rsidP="00CE5FBB">
      <w:pPr>
        <w:widowControl w:val="0"/>
        <w:jc w:val="both"/>
      </w:pPr>
      <w:r>
        <w:rPr>
          <w:b/>
        </w:rPr>
        <w:t>1.4</w:t>
      </w:r>
      <w:r w:rsidR="00CE5FBB" w:rsidRPr="002861CE">
        <w:rPr>
          <w:b/>
        </w:rPr>
        <w:t>. </w:t>
      </w:r>
      <w:r w:rsidR="00CE5FBB" w:rsidRPr="002861CE">
        <w:t>Для Учасників з Донецької та Луганської областей: повинні надати Довідку банку про підтвердження відкриття рахунку постачальником в населеному пункті, який контролюється українською владою. Довідка нестандартного типу.</w:t>
      </w:r>
    </w:p>
    <w:p w:rsidR="00CE5FBB" w:rsidRPr="002861CE" w:rsidRDefault="00243FB6" w:rsidP="00CE5FBB">
      <w:pPr>
        <w:pStyle w:val="rvps14"/>
        <w:spacing w:before="0" w:beforeAutospacing="0" w:after="0" w:afterAutospacing="0"/>
        <w:ind w:right="113"/>
        <w:jc w:val="both"/>
        <w:textAlignment w:val="baseline"/>
      </w:pPr>
      <w:r>
        <w:rPr>
          <w:b/>
          <w:lang w:val="ru-RU"/>
        </w:rPr>
        <w:t>1.5</w:t>
      </w:r>
      <w:r w:rsidR="00CE5FBB">
        <w:rPr>
          <w:b/>
          <w:lang w:val="ru-RU"/>
        </w:rPr>
        <w:t>.</w:t>
      </w:r>
      <w:r w:rsidR="00CE5FBB" w:rsidRPr="002861CE">
        <w:t> Кожен учасник має право подати тільки одну пропозицію.</w:t>
      </w:r>
    </w:p>
    <w:p w:rsidR="00CE5FBB" w:rsidRPr="002861CE" w:rsidRDefault="00243FB6" w:rsidP="00CE5FBB">
      <w:pPr>
        <w:pStyle w:val="rvps14"/>
        <w:spacing w:before="0" w:beforeAutospacing="0" w:after="0" w:afterAutospacing="0"/>
        <w:ind w:right="113"/>
        <w:jc w:val="both"/>
        <w:textAlignment w:val="baseline"/>
      </w:pPr>
      <w:r>
        <w:rPr>
          <w:b/>
          <w:lang w:val="ru-RU"/>
        </w:rPr>
        <w:t>1.6</w:t>
      </w:r>
      <w:r w:rsidR="00CE5FBB" w:rsidRPr="002861CE">
        <w:rPr>
          <w:b/>
          <w:lang w:val="ru-RU"/>
        </w:rPr>
        <w:t>.</w:t>
      </w:r>
      <w:r w:rsidR="00CE5FBB" w:rsidRPr="002861CE">
        <w:t> В разі неможливості надання документів у складі пропозиції, що заявлені в цій документації, просимо надати письмове пояснення про підстави та/або причини їх відсутності.</w:t>
      </w:r>
    </w:p>
    <w:p w:rsidR="00CE5FBB" w:rsidRDefault="00243FB6" w:rsidP="00CE5FBB">
      <w:pPr>
        <w:pStyle w:val="rvps14"/>
        <w:spacing w:before="0" w:beforeAutospacing="0" w:after="0" w:afterAutospacing="0"/>
        <w:ind w:right="113"/>
        <w:jc w:val="both"/>
        <w:textAlignment w:val="baseline"/>
        <w:rPr>
          <w:b/>
        </w:rPr>
      </w:pPr>
      <w:r>
        <w:rPr>
          <w:b/>
          <w:lang w:val="ru-RU"/>
        </w:rPr>
        <w:t>1.7</w:t>
      </w:r>
      <w:r w:rsidR="00CE5FBB">
        <w:rPr>
          <w:b/>
          <w:lang w:val="ru-RU"/>
        </w:rPr>
        <w:t>.</w:t>
      </w:r>
      <w:r w:rsidR="00CE5FBB" w:rsidRPr="009F3F0D">
        <w:t> </w:t>
      </w:r>
      <w:r w:rsidR="00CE5FBB" w:rsidRPr="009F3F0D">
        <w:rPr>
          <w:b/>
        </w:rPr>
        <w:t xml:space="preserve">ІНФОРМАЦІЯ щодо можливих помилок, допущених </w:t>
      </w:r>
      <w:r w:rsidR="00CE5FBB">
        <w:rPr>
          <w:b/>
        </w:rPr>
        <w:t>У</w:t>
      </w:r>
      <w:r w:rsidR="00CE5FBB" w:rsidRPr="009F3F0D">
        <w:rPr>
          <w:b/>
        </w:rPr>
        <w:t xml:space="preserve">часником при </w:t>
      </w:r>
      <w:bookmarkStart w:id="0" w:name="_GoBack"/>
      <w:bookmarkEnd w:id="0"/>
      <w:r w:rsidR="00CE5FBB" w:rsidRPr="009F3F0D">
        <w:rPr>
          <w:b/>
        </w:rPr>
        <w:t>складанні документів пропозиції: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>Формальними (несуттєвими) вважаються помилки, що пов'язані з оформленням пропозиції та не впливають на зміст пропозиції, а саме - технічні помилки та описки. До формальних (несуттєвих) помилок замовника можуть відноситися: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>- розміщення інформації не на фірмовому бланку учасника;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>- самостійне виправлення помилок та/або описок у поданій пропозиції під час її складання учасником;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 xml:space="preserve">- 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пропозиції, зазначення в довідці русизмів, </w:t>
      </w:r>
      <w:proofErr w:type="spellStart"/>
      <w:r w:rsidRPr="006B2D9D">
        <w:rPr>
          <w:bCs/>
        </w:rPr>
        <w:t>сленгових</w:t>
      </w:r>
      <w:proofErr w:type="spellEnd"/>
      <w:r w:rsidRPr="006B2D9D">
        <w:rPr>
          <w:bCs/>
        </w:rPr>
        <w:t xml:space="preserve"> слів або технічних помилок;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 xml:space="preserve">- недодержання встановлених форм згідно Додатків до </w:t>
      </w:r>
      <w:r>
        <w:rPr>
          <w:bCs/>
        </w:rPr>
        <w:t>цього Оголошення</w:t>
      </w:r>
      <w:r w:rsidRPr="006B2D9D">
        <w:rPr>
          <w:bCs/>
        </w:rPr>
        <w:t xml:space="preserve">, але за умови, що зміст та вся інформація, яка вимагалась </w:t>
      </w:r>
      <w:r>
        <w:rPr>
          <w:bCs/>
        </w:rPr>
        <w:t>З</w:t>
      </w:r>
      <w:r w:rsidRPr="006B2D9D">
        <w:rPr>
          <w:bCs/>
        </w:rPr>
        <w:t xml:space="preserve">амовником, у повному обсязі зазначені (є в наявності) у наданому документі/документах; 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lastRenderedPageBreak/>
        <w:t xml:space="preserve">- зазначення невірної назви документа, що підготовлений безпосередньо учасником, у разі якщо зміст такого документу повністю відповідає вимогам </w:t>
      </w:r>
      <w:r>
        <w:rPr>
          <w:bCs/>
        </w:rPr>
        <w:t>Оголошення</w:t>
      </w:r>
      <w:r w:rsidRPr="006B2D9D">
        <w:rPr>
          <w:bCs/>
        </w:rPr>
        <w:t>;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 xml:space="preserve">- якщо вимога в </w:t>
      </w:r>
      <w:r>
        <w:rPr>
          <w:bCs/>
        </w:rPr>
        <w:t>Оголошенні</w:t>
      </w:r>
      <w:r w:rsidRPr="006B2D9D">
        <w:rPr>
          <w:bCs/>
        </w:rPr>
        <w:t xml:space="preserve"> встановлена декілька разів, </w:t>
      </w:r>
      <w:r>
        <w:rPr>
          <w:bCs/>
        </w:rPr>
        <w:t>У</w:t>
      </w:r>
      <w:r w:rsidRPr="006B2D9D">
        <w:rPr>
          <w:bCs/>
        </w:rPr>
        <w:t>часник може подати необхідний документ або інформацію один раз;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>- відсутність інформації в одних документах, однак наявність цієї інформації в інших документах у складі пропозиції;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>- інші формальні (несуттєві) помилки, що пов’язані з оформленням пропозиції та ніяк не впливають на</w:t>
      </w:r>
      <w:r>
        <w:rPr>
          <w:bCs/>
        </w:rPr>
        <w:t xml:space="preserve"> її</w:t>
      </w:r>
      <w:r w:rsidRPr="006B2D9D">
        <w:rPr>
          <w:bCs/>
        </w:rPr>
        <w:t xml:space="preserve"> зміст.</w:t>
      </w:r>
    </w:p>
    <w:p w:rsidR="00CE5FBB" w:rsidRPr="006B2D9D" w:rsidRDefault="00CE5FBB" w:rsidP="00CE5FBB">
      <w:pPr>
        <w:pStyle w:val="rvps14"/>
        <w:spacing w:before="0" w:beforeAutospacing="0" w:after="0" w:afterAutospacing="0"/>
        <w:ind w:right="75"/>
        <w:jc w:val="both"/>
        <w:textAlignment w:val="baseline"/>
        <w:rPr>
          <w:bCs/>
        </w:rPr>
      </w:pPr>
      <w:r w:rsidRPr="006B2D9D">
        <w:rPr>
          <w:bCs/>
        </w:rPr>
        <w:t xml:space="preserve">Допущення формальних помилок учасниками не призведе до відхилення їх пропозицій. Рішення про віднесення помилки до формальної приймається </w:t>
      </w:r>
      <w:r>
        <w:rPr>
          <w:bCs/>
        </w:rPr>
        <w:t>З</w:t>
      </w:r>
      <w:r w:rsidRPr="006B2D9D">
        <w:rPr>
          <w:bCs/>
        </w:rPr>
        <w:t>амовником.</w:t>
      </w:r>
    </w:p>
    <w:p w:rsidR="00CE5FBB" w:rsidRPr="006B2D9D" w:rsidRDefault="00CE5FBB" w:rsidP="00CE5FBB">
      <w:pPr>
        <w:jc w:val="both"/>
        <w:rPr>
          <w:rFonts w:cs="Times New Roman CYR"/>
          <w:bCs/>
          <w:color w:val="000000"/>
        </w:rPr>
      </w:pPr>
      <w:r w:rsidRPr="006B2D9D"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</w:t>
      </w:r>
      <w:r w:rsidRPr="006B2D9D">
        <w:rPr>
          <w:rFonts w:cs="Times New Roman CYR"/>
          <w:bCs/>
          <w:color w:val="000000"/>
        </w:rPr>
        <w:t xml:space="preserve">У разі, якщо інформація, що запитується, міститься у відкритих єдиних державних реєстрах, внесених до Переліку відкритих єдиних державних реєстрів, доступ до яких є вільним, </w:t>
      </w:r>
      <w:r>
        <w:rPr>
          <w:rFonts w:cs="Times New Roman CYR"/>
          <w:bCs/>
          <w:color w:val="000000"/>
        </w:rPr>
        <w:t>У</w:t>
      </w:r>
      <w:r w:rsidRPr="006B2D9D">
        <w:rPr>
          <w:rFonts w:cs="Times New Roman CYR"/>
          <w:bCs/>
          <w:color w:val="000000"/>
        </w:rPr>
        <w:t>часник надає довідку у довільній формі із посиланням на джерело походження такої інформації.</w:t>
      </w:r>
    </w:p>
    <w:p w:rsidR="00CE5FBB" w:rsidRPr="005636BC" w:rsidRDefault="00243FB6" w:rsidP="00CE5FBB">
      <w:pPr>
        <w:jc w:val="both"/>
      </w:pPr>
      <w:r>
        <w:rPr>
          <w:b/>
          <w:color w:val="000000"/>
        </w:rPr>
        <w:t>1.8</w:t>
      </w:r>
      <w:r w:rsidR="00CE5FBB">
        <w:rPr>
          <w:b/>
          <w:color w:val="000000"/>
        </w:rPr>
        <w:t>.</w:t>
      </w:r>
      <w:r w:rsidR="00CE5FBB" w:rsidRPr="00C04926">
        <w:rPr>
          <w:b/>
          <w:color w:val="000000"/>
        </w:rPr>
        <w:t> </w:t>
      </w:r>
      <w:r w:rsidR="00CE5FBB" w:rsidRPr="00C04926">
        <w:rPr>
          <w:color w:val="000000"/>
        </w:rPr>
        <w:t xml:space="preserve">Учасник, </w:t>
      </w:r>
      <w:r w:rsidR="00CE5FBB" w:rsidRPr="00C04926">
        <w:t xml:space="preserve">якого за результатами кваліфікації визнано переможцем, не пізніше ніж через 10 робочих днів </w:t>
      </w:r>
      <w:r w:rsidR="00CE5FBB" w:rsidRPr="00C04926">
        <w:rPr>
          <w:shd w:val="clear" w:color="auto" w:fill="FFFFFA"/>
        </w:rPr>
        <w:t xml:space="preserve">після опублікування рішення про переможця закупівлі, повинен надати до Замовника </w:t>
      </w:r>
      <w:r w:rsidR="00CE5FBB" w:rsidRPr="00C04926">
        <w:rPr>
          <w:color w:val="000000"/>
        </w:rPr>
        <w:t>в паперовому вигляді п</w:t>
      </w:r>
      <w:r w:rsidR="00CE5FBB" w:rsidRPr="00C04926">
        <w:t>ідписаний зі свого боку і скріплені печаткою (за наявністю) екземпляри договору про закупівлю, зміст якого не повинен відрізнятися від результатів аукціону (</w:t>
      </w:r>
      <w:r w:rsidR="00CE5FBB" w:rsidRPr="00C04926">
        <w:rPr>
          <w:bCs/>
        </w:rPr>
        <w:t>з цінами після аукціону)</w:t>
      </w:r>
      <w:r w:rsidR="00CE5FBB" w:rsidRPr="00C04926">
        <w:t>, від форми проекту договору про закупівлю згідно Додатку  до Оголошення та інших технічних, якісних вимог Оголошення, а також надати у паперовому вигляді від Учасника та/або представника чи посадової особи Учасника, які надають свої персональні дані (якщо інтереси Учасника під час будь-якого етапу процедури закупівлі, поч</w:t>
      </w:r>
      <w:r w:rsidR="00CE5FBB" w:rsidRPr="00385C81">
        <w:t xml:space="preserve">инаючи з підписання пропозиції за результатами аукціону, представляє інша особа) лист-згоду на обробку, використання, поширення та доступ до персональних даних для забезпечення участі у процедурі відкритих торгів, цивільно-правових та господарських відносинах </w:t>
      </w:r>
      <w:r w:rsidR="00CE5FBB">
        <w:t>.</w:t>
      </w:r>
    </w:p>
    <w:p w:rsidR="009F18AA" w:rsidRDefault="009F18AA"/>
    <w:sectPr w:rsidR="009F1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BB"/>
    <w:rsid w:val="00243FB6"/>
    <w:rsid w:val="009016FE"/>
    <w:rsid w:val="009F18AA"/>
    <w:rsid w:val="00C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E5FBB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CE5F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5FBB"/>
  </w:style>
  <w:style w:type="character" w:customStyle="1" w:styleId="rvts0">
    <w:name w:val="rvts0"/>
    <w:rsid w:val="00CE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E5FBB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CE5F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5FBB"/>
  </w:style>
  <w:style w:type="character" w:customStyle="1" w:styleId="rvts0">
    <w:name w:val="rvts0"/>
    <w:rsid w:val="00CE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2020-05-26T10:15:00Z</dcterms:created>
  <dcterms:modified xsi:type="dcterms:W3CDTF">2020-07-23T05:35:00Z</dcterms:modified>
</cp:coreProperties>
</file>