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ДОДАТОК № 1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color w:val="000000"/>
        </w:rPr>
      </w:pP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Інформація про спосіб підтвердження відповідності учасників кваліфікаційним критеріям відповідно до статті 16 Закону України «Про публічні закупівлі» (перелік документів та інформації).</w:t>
      </w:r>
    </w:p>
    <w:p w:rsidR="00FE3450" w:rsidRDefault="00FE3450" w:rsidP="00FE3450">
      <w:pPr>
        <w:pStyle w:val="normal"/>
        <w:ind w:left="-567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5268A7">
        <w:rPr>
          <w:rFonts w:ascii="Times New Roman" w:eastAsia="Times New Roman" w:hAnsi="Times New Roman" w:cs="Times New Roman"/>
        </w:rPr>
        <w:t>1.1. Інформаційна довідка щодо наявності спеціалізованого автотранспорту</w:t>
      </w:r>
      <w:r w:rsidRPr="00064FD2">
        <w:rPr>
          <w:rFonts w:ascii="Times New Roman" w:eastAsia="Times New Roman" w:hAnsi="Times New Roman" w:cs="Times New Roman"/>
        </w:rPr>
        <w:t>(не менше 2-х одиниць)</w:t>
      </w:r>
      <w:r w:rsidRPr="005268A7">
        <w:rPr>
          <w:rFonts w:ascii="Times New Roman" w:eastAsia="Times New Roman" w:hAnsi="Times New Roman" w:cs="Times New Roman"/>
        </w:rPr>
        <w:t xml:space="preserve"> за нижчезазначеною формою.</w:t>
      </w:r>
    </w:p>
    <w:p w:rsidR="00FE3450" w:rsidRPr="00BD499B" w:rsidRDefault="00FE3450" w:rsidP="00FE3450">
      <w:pPr>
        <w:pStyle w:val="normal"/>
        <w:widowControl/>
        <w:ind w:left="-567" w:firstLine="567"/>
        <w:jc w:val="both"/>
        <w:rPr>
          <w:rFonts w:ascii="Times New Roman" w:eastAsia="Times New Roman" w:hAnsi="Times New Roman" w:cs="Times New Roman"/>
          <w:i/>
        </w:rPr>
      </w:pPr>
      <w:r w:rsidRPr="00A7186C">
        <w:rPr>
          <w:rFonts w:ascii="Times New Roman" w:eastAsia="Times New Roman" w:hAnsi="Times New Roman" w:cs="Times New Roman"/>
          <w:i/>
        </w:rPr>
        <w:t>Форма:</w:t>
      </w:r>
    </w:p>
    <w:tbl>
      <w:tblPr>
        <w:tblW w:w="10657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67"/>
        <w:gridCol w:w="3853"/>
        <w:gridCol w:w="3260"/>
        <w:gridCol w:w="2977"/>
      </w:tblGrid>
      <w:tr w:rsidR="00FE3450" w:rsidTr="005C410C">
        <w:tc>
          <w:tcPr>
            <w:tcW w:w="567" w:type="dxa"/>
            <w:shd w:val="clear" w:color="auto" w:fill="auto"/>
          </w:tcPr>
          <w:p w:rsidR="00FE3450" w:rsidRPr="00345661" w:rsidRDefault="00FE3450" w:rsidP="005C410C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E3450" w:rsidRPr="00345661" w:rsidRDefault="00FE3450" w:rsidP="005C410C">
            <w:pPr>
              <w:pStyle w:val="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1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853" w:type="dxa"/>
            <w:shd w:val="clear" w:color="auto" w:fill="auto"/>
          </w:tcPr>
          <w:p w:rsidR="00FE3450" w:rsidRPr="00345661" w:rsidRDefault="00FE3450" w:rsidP="005C410C">
            <w:pPr>
              <w:pStyle w:val="normal"/>
              <w:widowControl/>
              <w:spacing w:line="276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Марка, модель,</w:t>
            </w:r>
          </w:p>
          <w:p w:rsidR="00FE3450" w:rsidRPr="00345661" w:rsidRDefault="00FE3450" w:rsidP="005C410C">
            <w:pPr>
              <w:pStyle w:val="normal"/>
              <w:widowControl/>
              <w:spacing w:line="276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1">
              <w:rPr>
                <w:rFonts w:ascii="Times New Roman" w:eastAsia="Times New Roman" w:hAnsi="Times New Roman" w:cs="Times New Roman"/>
                <w:sz w:val="20"/>
                <w:szCs w:val="20"/>
              </w:rPr>
              <w:t>тип (вид) кузову ТЗ</w:t>
            </w:r>
          </w:p>
        </w:tc>
        <w:tc>
          <w:tcPr>
            <w:tcW w:w="3260" w:type="dxa"/>
            <w:shd w:val="clear" w:color="auto" w:fill="auto"/>
          </w:tcPr>
          <w:p w:rsidR="00FE3450" w:rsidRPr="00345661" w:rsidRDefault="00FE3450" w:rsidP="005C410C">
            <w:pPr>
              <w:pStyle w:val="normal"/>
              <w:widowControl/>
              <w:spacing w:line="276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1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Реєстраційний номер ТЗ</w:t>
            </w:r>
          </w:p>
        </w:tc>
        <w:tc>
          <w:tcPr>
            <w:tcW w:w="2977" w:type="dxa"/>
            <w:shd w:val="clear" w:color="auto" w:fill="auto"/>
          </w:tcPr>
          <w:p w:rsidR="00FE3450" w:rsidRPr="00345661" w:rsidRDefault="00FE3450" w:rsidP="005C410C">
            <w:pPr>
              <w:pStyle w:val="normal"/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</w:t>
            </w:r>
          </w:p>
          <w:p w:rsidR="00FE3450" w:rsidRPr="00345661" w:rsidRDefault="00FE3450" w:rsidP="005C410C">
            <w:pPr>
              <w:pStyle w:val="normal"/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1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користування ТЗ</w:t>
            </w:r>
          </w:p>
        </w:tc>
      </w:tr>
    </w:tbl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Свідоцтва про реєстрацію транспортних засобів, </w:t>
      </w:r>
      <w:r w:rsidRPr="00C9791A">
        <w:rPr>
          <w:rFonts w:ascii="Times New Roman" w:eastAsia="Times New Roman" w:hAnsi="Times New Roman" w:cs="Times New Roman"/>
          <w:color w:val="000000"/>
        </w:rPr>
        <w:t>інформація щодо яких надана Учасником відповідно до п.1.1. Додатку №1 до Тендерної документації;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За відсутністю у учасника власних спеціалізованих транспортних засобів, у разі, якщо Учасник самостійно здійснює перевезення предмету закупівлі, Учасник надає крім перелічених вище документів: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Документи, які відповідають вимогам чинного законодавства, та підтверджують надання власником транспортних засобів Учаснику права користування спеціалізованим автотранспортом, а саме: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Договір найму (оренди) транспортних засобів, який оформлений відповідно до ст.ст. 798-805 ЦК України.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або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Договір позички транспортного засобу, який оформлений відповідно до ст.ст. 827-836 ЦК України.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або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Договір суборенди транспортного засобу, який надається разом з договором оренди на зазначений транспортний засіб, з урахуванням вимог ст.ст. 798-805 ЦК України.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або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Інший документ, що підтверджує надання власником транспортних засобів Учаснику права користування транспортним засобом, окрім довіреностей, оскільки це не є документом, що підтверджує право учасника на користування спеціалізованими транспортними засобами,  відповідно до ч.3 ст. 244 ЦК України.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За відсутністю у учасника власних спеціалізованих транспортних засобів, у разі, якщо Учасником для перевезення предмету закупівлі залучається суб’єкт господарювання (Перевізник), який здійснює перевезення вантажів, Учасник надає документи передбачені п. 1.1, 1.2 ч. 1 Додатку 1 до Тендерної документації та нижчезазначені документи: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Договір про надання Учаснику відповідних послуг перевезення, укладений відповідно до вимог чинного законодавства.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2. Наявністьв учасника процедури закупівлі працівників відповідної кваліфікації, які мають необхідні знання та досвід: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 Інформаційна довідка про наявність працівників (окремо водії автотранспортних засобів, окремо вантажники, відповідної кваліфікації, які мають необхідні знання та досвід, та будуть залучені для обігу предмету закупівлі за наступною формою:</w:t>
      </w:r>
    </w:p>
    <w:p w:rsidR="00FE3450" w:rsidRPr="007B2AFB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B2AFB">
        <w:rPr>
          <w:rFonts w:ascii="Times New Roman" w:eastAsia="Times New Roman" w:hAnsi="Times New Roman" w:cs="Times New Roman"/>
          <w:i/>
          <w:color w:val="000000"/>
        </w:rPr>
        <w:t>Форма: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709"/>
        <w:gridCol w:w="3260"/>
        <w:gridCol w:w="1418"/>
        <w:gridCol w:w="2551"/>
        <w:gridCol w:w="2552"/>
      </w:tblGrid>
      <w:tr w:rsidR="00FE3450" w:rsidTr="005C41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69" w:firstLine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6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69" w:firstLine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61">
              <w:rPr>
                <w:rFonts w:ascii="Times New Roman" w:eastAsia="Times New Roman" w:hAnsi="Times New Roman" w:cs="Times New Roman"/>
                <w:color w:val="000000"/>
              </w:rPr>
              <w:t xml:space="preserve">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61">
              <w:rPr>
                <w:rFonts w:ascii="Times New Roman" w:eastAsia="Times New Roman" w:hAnsi="Times New Roman" w:cs="Times New Roman"/>
                <w:color w:val="000000"/>
              </w:rPr>
              <w:t>П.І.Б.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61">
              <w:rPr>
                <w:rFonts w:ascii="Times New Roman" w:eastAsia="Times New Roman" w:hAnsi="Times New Roman" w:cs="Times New Roman"/>
                <w:color w:val="000000"/>
              </w:rPr>
              <w:t>Посада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61">
              <w:rPr>
                <w:rFonts w:ascii="Times New Roman" w:eastAsia="Times New Roman" w:hAnsi="Times New Roman" w:cs="Times New Roman"/>
                <w:color w:val="000000"/>
              </w:rPr>
              <w:t>Загальний досвід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(стаж)</w:t>
            </w:r>
            <w:r w:rsidRPr="00345661">
              <w:rPr>
                <w:rFonts w:ascii="Times New Roman" w:eastAsia="Times New Roman" w:hAnsi="Times New Roman" w:cs="Times New Roman"/>
                <w:color w:val="000000"/>
              </w:rPr>
              <w:t xml:space="preserve"> роботи (роки)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61">
              <w:rPr>
                <w:rFonts w:ascii="Times New Roman" w:eastAsia="Times New Roman" w:hAnsi="Times New Roman" w:cs="Times New Roman"/>
                <w:color w:val="000000"/>
              </w:rPr>
              <w:t>Досвід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(стаж)</w:t>
            </w:r>
            <w:r w:rsidRPr="00345661">
              <w:rPr>
                <w:rFonts w:ascii="Times New Roman" w:eastAsia="Times New Roman" w:hAnsi="Times New Roman" w:cs="Times New Roman"/>
                <w:color w:val="000000"/>
              </w:rPr>
              <w:t xml:space="preserve"> роботи на останній посаді </w:t>
            </w:r>
            <w:r w:rsidRPr="003456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(роки)</w:t>
            </w:r>
          </w:p>
        </w:tc>
      </w:tr>
      <w:tr w:rsidR="00FE3450" w:rsidTr="005C41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50" w:rsidRPr="00345661" w:rsidRDefault="00FE3450" w:rsidP="005C410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Кількість окремо водіїв автотранспортних засобів, та окремо вантажників повинна дорівнювати повідомленій Учасником кількості одиниць транспорту, яким буде здійснюватися перевезення предмету закупівлі. У разі якщо учасник залучає декілька Перевізників для постачання предмету закупівлі, кожний з них повинен мати необхідну кількість працівників, з розрахунку: на один транспортний засіб необхідна наявність одного водія автотранспортного засобу, </w:t>
      </w:r>
      <w:r w:rsidRPr="00A145D5">
        <w:rPr>
          <w:rFonts w:ascii="Times New Roman" w:eastAsia="Times New Roman" w:hAnsi="Times New Roman" w:cs="Times New Roman"/>
          <w:color w:val="000000"/>
        </w:rPr>
        <w:t>одного вантажника.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 Медичні довідки щодо придатності до керування транспортними засобами водіїв автотранспортних засобів </w:t>
      </w:r>
      <w:r w:rsidRPr="00C9791A">
        <w:rPr>
          <w:rFonts w:ascii="Times New Roman" w:eastAsia="Times New Roman" w:hAnsi="Times New Roman" w:cs="Times New Roman"/>
          <w:color w:val="000000"/>
        </w:rPr>
        <w:t>(зазначених у п. 2.1 ч. 2 Додатку № 1 до Тендерної документації), які виконують роботи з перевезення вантажів (у кількості, відповідній до кількості транспортних засобів),</w:t>
      </w:r>
      <w:r>
        <w:rPr>
          <w:rFonts w:ascii="Times New Roman" w:eastAsia="Times New Roman" w:hAnsi="Times New Roman" w:cs="Times New Roman"/>
          <w:color w:val="000000"/>
        </w:rPr>
        <w:t xml:space="preserve"> що підтверджують своєчасний періодичний огляд, один раз на рік, та видані строком на один рік, відповідно до «Положення про медичний огляд кандидатів у водії та водіїв транспортних засобів», затверджені Наказом МОЗ та МВС України № 65/80 від 31.01.2013 р.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 Документи, що підтверджують наявність працівників відповідної кваліфікації, які мають необхідні знання та досвід, та будуть залучені для постачання та обігу предмету закупівлі, що зазначені у п. 2.1 ч. 2 Додатку № 1 до Тендерної документації: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У разі, якщо Учасник самостійно здійснює постачання та обіг  предмету закупівлі: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документи, що підтверджують трудові відносини між учасником та його працівниками, які будуть залучені до постачання та обігу предмету закупівлі (перелічені п. 2.1 ч. 2 додатку № 1 до Тендерної документації);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для учасників – юридичних осіб: трудові книжки (перша сторінка, сторінка з останнім записом про прийняття на роботу, а також сторінки, що підтверджують загальний досвід роботи, визначений у п. 2.1 ч. 2 додатку № 1 до Тендерної документації)</w:t>
      </w:r>
      <w:r>
        <w:rPr>
          <w:rFonts w:ascii="Times New Roman" w:eastAsia="Times New Roman" w:hAnsi="Times New Roman" w:cs="Times New Roman"/>
          <w:i/>
          <w:color w:val="000000"/>
        </w:rPr>
        <w:t xml:space="preserve"> (Для керівників юридичних осіб (генеральний директор, директор, керуючий) надається трудова книжка або трудовий договір (контракт тощо).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для учасників – фізичних осіб-підприємців: трудові книжки (перша сторінка, сторінка з останнім записом про прийняття на роботу, а також сторінки, що підтверджують загальний досвід роботи, визначений у п. 2.1 ч. 2 додатку № 1 до Тендерної документації) та зареєстровані в Центрі зайнятості трудові договори (якщо, трудові договори укладені після 01.01.2015р. – трудові договори та повідомлення про прийняття працівників на роботу у відповідності до постанови КМУ № 413 від 17.06.2015 р., з відміткою про їх отримання територіальним органом Державної фіскальної служби.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У разі, якщо для постачання та обігу предмету закупівлі Учасником залучається суб’єкт господарювання, який здійснює перевезення та зберігання предмету закупівлі: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документи, що підтверджують трудові відносини між суб’єктом господарювання та його працівниками (перелічені у п. 2.1 ч. 2 додатку № 1 до Тендерної документації), які будуть залучені до постачання та обігу предмету закупівлі: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для суб’єктів господарювання – юридичних осіб: трудові книжки (перша сторінка, сторінка з останнім записом про прийняття на роботу, а також сторінки, що підтверджують загальний досвід роботи, визначений у п. 2.1 ч. 2 додатку № 1 до Тендерної документації) </w:t>
      </w:r>
      <w:r>
        <w:rPr>
          <w:rFonts w:ascii="Times New Roman" w:eastAsia="Times New Roman" w:hAnsi="Times New Roman" w:cs="Times New Roman"/>
          <w:i/>
          <w:color w:val="000000"/>
        </w:rPr>
        <w:t>(Для керівників юридичних осіб (генеральний директор, директор, керуючий тощо) надається трудова книжка або трудовий договір (контракт тощо).</w:t>
      </w:r>
    </w:p>
    <w:p w:rsidR="00FE3450" w:rsidRDefault="00FE3450" w:rsidP="00FE345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для суб’єктів господарювання – фізичних осіб-підприємців: трудові книжки (перша сторінка, сторінка з останнім записом про прийняття на роботу, а також сторінки, що </w:t>
      </w:r>
      <w:r>
        <w:rPr>
          <w:rFonts w:ascii="Times New Roman" w:eastAsia="Times New Roman" w:hAnsi="Times New Roman" w:cs="Times New Roman"/>
          <w:color w:val="000000"/>
        </w:rPr>
        <w:lastRenderedPageBreak/>
        <w:t>підтверджують загальний досвід роботи, визначений у п. 2.1 ч. 2 додатку № 1 до Тендерної документації) та зареєстровані в Центрі зайнятості трудові договори (якщо, трудові договори укладені  після 01.01.2015р. – трудові договори та повідомлення про прийняття працівників на роботу у відповідності до постанови КМУ № 413 від 17.06.2015 р., з відміткою про їх отримання територіальним органом Державної фіскальної служби.</w:t>
      </w:r>
    </w:p>
    <w:p w:rsidR="000862D9" w:rsidRPr="00327377" w:rsidRDefault="000862D9" w:rsidP="00327377">
      <w:bookmarkStart w:id="0" w:name="_GoBack"/>
      <w:bookmarkEnd w:id="0"/>
    </w:p>
    <w:sectPr w:rsidR="000862D9" w:rsidRPr="00327377" w:rsidSect="00CE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nds" w:val="18"/>
    <w:docVar w:name="ndsvid" w:val="0"/>
  </w:docVars>
  <w:rsids>
    <w:rsidRoot w:val="00FE3450"/>
    <w:rsid w:val="000862D9"/>
    <w:rsid w:val="00150DD9"/>
    <w:rsid w:val="00186F1B"/>
    <w:rsid w:val="001F1487"/>
    <w:rsid w:val="00206FC3"/>
    <w:rsid w:val="00266B24"/>
    <w:rsid w:val="00327377"/>
    <w:rsid w:val="003F548B"/>
    <w:rsid w:val="00676266"/>
    <w:rsid w:val="007D67F5"/>
    <w:rsid w:val="00807FD7"/>
    <w:rsid w:val="00855780"/>
    <w:rsid w:val="00A4352C"/>
    <w:rsid w:val="00BF3E3A"/>
    <w:rsid w:val="00CB64E0"/>
    <w:rsid w:val="00CC5347"/>
    <w:rsid w:val="00CE755A"/>
    <w:rsid w:val="00F0272A"/>
    <w:rsid w:val="00FE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5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45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2021-12-08T10:22:00Z</dcterms:created>
  <dcterms:modified xsi:type="dcterms:W3CDTF">2022-10-13T10:06:00Z</dcterms:modified>
</cp:coreProperties>
</file>