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F" w:rsidRPr="001115BF" w:rsidRDefault="001115BF" w:rsidP="001115BF">
      <w:pPr>
        <w:shd w:val="clear" w:color="auto" w:fill="FFFFFF"/>
        <w:spacing w:after="75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</w:pPr>
      <w:bookmarkStart w:id="0" w:name="_GoBack"/>
      <w:bookmarkEnd w:id="0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Постанова</w:t>
      </w:r>
    </w:p>
    <w:p w:rsidR="001115BF" w:rsidRPr="001115BF" w:rsidRDefault="001115BF" w:rsidP="001115BF">
      <w:pPr>
        <w:shd w:val="clear" w:color="auto" w:fill="FFFFFF"/>
        <w:spacing w:after="75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pacing w:val="15"/>
          <w:sz w:val="28"/>
          <w:szCs w:val="28"/>
          <w:lang w:eastAsia="ru-RU"/>
        </w:rPr>
      </w:pP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pacing w:val="15"/>
          <w:sz w:val="28"/>
          <w:szCs w:val="28"/>
          <w:lang w:eastAsia="ru-RU"/>
        </w:rPr>
        <w:t>від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pacing w:val="15"/>
          <w:sz w:val="28"/>
          <w:szCs w:val="28"/>
          <w:lang w:eastAsia="ru-RU"/>
        </w:rPr>
        <w:t xml:space="preserve"> 26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pacing w:val="15"/>
          <w:sz w:val="28"/>
          <w:szCs w:val="28"/>
          <w:lang w:eastAsia="ru-RU"/>
        </w:rPr>
        <w:t>жовтня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pacing w:val="15"/>
          <w:sz w:val="28"/>
          <w:szCs w:val="28"/>
          <w:lang w:eastAsia="ru-RU"/>
        </w:rPr>
        <w:t xml:space="preserve"> 2018 р. № 1268</w:t>
      </w:r>
    </w:p>
    <w:p w:rsidR="001115BF" w:rsidRPr="001115BF" w:rsidRDefault="001115BF" w:rsidP="001115BF">
      <w:pPr>
        <w:shd w:val="clear" w:color="auto" w:fill="FFFFFF"/>
        <w:spacing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</w:pPr>
      <w:proofErr w:type="gram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Про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затвердження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Методичних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рекомендацій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щодо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передачі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даних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побутових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та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малих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непобутових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споживачів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постачальнику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електричної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енергії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, на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якого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відповідно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до Закону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України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"Про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ринок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електричної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енергії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"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покладається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виконання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функції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універсальної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послуги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на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закріпленій</w:t>
      </w:r>
      <w:proofErr w:type="spellEnd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1115BF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eastAsia="ru-RU"/>
        </w:rPr>
        <w:t>території</w:t>
      </w:r>
      <w:proofErr w:type="spellEnd"/>
      <w:proofErr w:type="gramEnd"/>
    </w:p>
    <w:p w:rsidR="001115BF" w:rsidRPr="001115BF" w:rsidRDefault="00A02A26" w:rsidP="001115BF">
      <w:pPr>
        <w:shd w:val="clear" w:color="auto" w:fill="FFFFFF"/>
        <w:spacing w:after="0" w:line="450" w:lineRule="atLeast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ru-RU"/>
        </w:rPr>
      </w:pPr>
      <w:hyperlink r:id="rId5" w:history="1">
        <w:r w:rsidR="001115BF" w:rsidRPr="001115BF">
          <w:rPr>
            <w:rFonts w:ascii="ProbaPro" w:eastAsia="Times New Roman" w:hAnsi="ProbaPro" w:cs="Times New Roman"/>
            <w:caps/>
            <w:color w:val="4B4B4D"/>
            <w:spacing w:val="17"/>
            <w:sz w:val="28"/>
            <w:szCs w:val="28"/>
            <w:lang w:eastAsia="ru-RU"/>
          </w:rPr>
          <w:t>ПОСТАНОВИ</w:t>
        </w:r>
      </w:hyperlink>
    </w:p>
    <w:p w:rsidR="001115BF" w:rsidRPr="001115BF" w:rsidRDefault="001115BF" w:rsidP="001115BF">
      <w:pPr>
        <w:shd w:val="clear" w:color="auto" w:fill="FFFFFF"/>
        <w:spacing w:before="100" w:beforeAutospacing="1"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НАЦІОНАЛЬНА КОМІ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ІЯ, ЩО ЗДІЙСНЮЄ ДЕРЖАВНЕ РЕГУЛЮВАННЯ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СФЕРАХ ЕНЕРГЕТИКИ ТА КОМУНАЛЬНИХ ПОСЛУГ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ПОСТАНОВА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26.10.2018</w:t>
      </w:r>
      <w:r w:rsidRPr="001115B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</w:t>
      </w: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№ 1268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gram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Про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затвердження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Закону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proofErr w:type="gramEnd"/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статей 6, 63 та пункту 13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розділу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XVII «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Прикінцеві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перехідні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Закону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Закон)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Національна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ПОСТАНОВЛЯЄ: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Затвердити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Закону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додаються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Рекомендувати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суб’єктам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господарювання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провадять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діяльність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локальними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місцевими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електричними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мережами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намі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отримати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ліцензію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поширюються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вимоги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пункту 13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розділу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XVII «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Прикінцеві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перехідні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Закону,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здійснити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передачу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ідповідному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дня,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тарифом.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Голова НКРЕКП</w:t>
      </w:r>
      <w:r w:rsidRPr="001115B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О.Кривенко</w:t>
      </w:r>
      <w:proofErr w:type="spellEnd"/>
    </w:p>
    <w:p w:rsidR="001115BF" w:rsidRPr="001115BF" w:rsidRDefault="001115BF" w:rsidP="001115BF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ЗАТВЕРДЖЕНО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Постанова НКРЕКП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26.10.2018 № 1268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Закону</w:t>
      </w:r>
      <w:proofErr w:type="gram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</w:p>
    <w:p w:rsidR="001115BF" w:rsidRPr="001115BF" w:rsidRDefault="001115BF" w:rsidP="001115B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spellStart"/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розроблені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метою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методологічної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допомоги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заходів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відокремлення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оператора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системи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визначають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механізм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Закону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Закон)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ПУП),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суб’єктами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господарювання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провадять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діяльність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локальними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місцевими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електричними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мережами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намі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отримати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ліцензію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поширюються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вимоги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пункту 13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розділу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XVII «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Прикінцеві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перехідні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Закону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іцензіати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Терміни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рекомендаціях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вживаються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значеннях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наведених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законах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», «Про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комісію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інших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правових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актах.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3.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вимог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Закону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зобов’язаний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визначити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сформувати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статті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Закону належать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категорії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4. До дня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передача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інформує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таких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завершення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 та про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необхідність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їх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ПУП.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5. 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До дня,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забезпечує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контрольне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зняття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показів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лічильників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випадку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контрольне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зняття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показів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лічильника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відбулось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більше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ніж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3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місяці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дати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затвердження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6. За 30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дня,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забезпечує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передачу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у тому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числі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персональних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дотриманням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чинного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законодавства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(</w:t>
      </w:r>
      <w:proofErr w:type="spellStart"/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кр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графи 17)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 (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крім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графи 14)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електронному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вигляді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форматі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xls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7. До дня,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забезпечує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передачу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повних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електронному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вигляді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формат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xls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», яка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оформлюється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актом про передачу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8.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Протягом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10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робочих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ід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дня,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уточнює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інформацію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споживання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й стану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розрахунків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оновлює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передані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ПУП.</w:t>
      </w:r>
    </w:p>
    <w:p w:rsidR="001115BF" w:rsidRPr="001115BF" w:rsidRDefault="001115BF" w:rsidP="00111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9.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Перелі</w:t>
      </w:r>
      <w:proofErr w:type="gram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spellEnd"/>
      <w:proofErr w:type="gram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ПУП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визначений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3 до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115BF" w:rsidRPr="001115BF" w:rsidRDefault="001115BF" w:rsidP="001115BF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Директор Департаменту</w:t>
      </w:r>
    </w:p>
    <w:p w:rsidR="001115BF" w:rsidRPr="001115BF" w:rsidRDefault="001115BF" w:rsidP="001115B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стратегічного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розвитку</w:t>
      </w:r>
      <w:proofErr w:type="spellEnd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планування</w:t>
      </w:r>
      <w:proofErr w:type="spellEnd"/>
      <w:r w:rsidRPr="001115B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</w:t>
      </w:r>
      <w:proofErr w:type="spellStart"/>
      <w:r w:rsidRPr="001115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В.Цаплін</w:t>
      </w:r>
      <w:proofErr w:type="spellEnd"/>
    </w:p>
    <w:p w:rsidR="00785B64" w:rsidRDefault="00785B64"/>
    <w:sectPr w:rsidR="0078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BF"/>
    <w:rsid w:val="001115BF"/>
    <w:rsid w:val="00785B64"/>
    <w:rsid w:val="00A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5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5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1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2179">
                  <w:marLeft w:val="4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47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rc.gov.ua/tag/postan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SADOVij</cp:lastModifiedBy>
  <cp:revision>2</cp:revision>
  <dcterms:created xsi:type="dcterms:W3CDTF">2023-02-28T14:11:00Z</dcterms:created>
  <dcterms:modified xsi:type="dcterms:W3CDTF">2023-02-28T14:40:00Z</dcterms:modified>
</cp:coreProperties>
</file>