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Paragraph"/>
        <w:widowControl/>
        <w:spacing w:lineRule="auto" w:line="259" w:before="0" w:after="160"/>
        <w:rPr>
          <w:lang w:eastAsia="en-US"/>
        </w:rPr>
      </w:pPr>
      <w:r>
        <w:rPr>
          <w:lang w:eastAsia="en-US"/>
        </w:rPr>
      </w:r>
    </w:p>
    <w:p>
      <w:pPr>
        <w:pStyle w:val="1"/>
        <w:spacing w:before="74" w:after="0"/>
        <w:ind w:right="162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Додаток №  2</w:t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тендерної документації</w:t>
      </w:r>
    </w:p>
    <w:p>
      <w:pPr>
        <w:pStyle w:val="Style20"/>
        <w:ind w:right="22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Інформація про необхідні технічні, якісні та кількісні характеристики предмета  закупівлі, у тому числі відповідна технічна специфікація  на закупівлю товару “</w:t>
      </w:r>
      <w:r>
        <w:rPr>
          <w:rFonts w:eastAsia="Times New Roman" w:cs="Times New Roman" w:ascii="Times New Roman" w:hAnsi="Times New Roman"/>
          <w:b/>
          <w:color w:val="2A2928"/>
          <w:shd w:fill="FFFFFF" w:val="clear"/>
          <w:lang w:eastAsia="en-US"/>
        </w:rPr>
        <w:t>Мультимедійн</w:t>
      </w:r>
      <w:r>
        <w:rPr>
          <w:rFonts w:eastAsia="Times New Roman" w:cs="Times New Roman" w:ascii="Times New Roman" w:hAnsi="Times New Roman"/>
          <w:b/>
          <w:color w:val="2A2928"/>
          <w:sz w:val="24"/>
          <w:szCs w:val="24"/>
          <w:shd w:fill="FFFFFF" w:val="clear"/>
          <w:lang w:val="uk-UA" w:eastAsia="en-US"/>
        </w:rPr>
        <w:t>е</w:t>
      </w:r>
      <w:r>
        <w:rPr>
          <w:rFonts w:eastAsia="Times New Roman" w:cs="Times New Roman" w:ascii="Times New Roman" w:hAnsi="Times New Roman"/>
          <w:b/>
          <w:color w:val="2A2928"/>
          <w:shd w:fill="FFFFFF" w:val="clear"/>
          <w:lang w:eastAsia="en-US"/>
        </w:rPr>
        <w:t xml:space="preserve"> обладнання. Тип 1 — 1 комплект, Мультимедійне обладнання. Тип </w:t>
      </w:r>
      <w:r>
        <w:rPr>
          <w:rFonts w:eastAsia="Times New Roman" w:cs="Times New Roman" w:ascii="Times New Roman" w:hAnsi="Times New Roman"/>
          <w:b/>
          <w:color w:val="2A2928"/>
          <w:sz w:val="24"/>
          <w:szCs w:val="24"/>
          <w:shd w:fill="FFFFFF" w:val="clear"/>
          <w:lang w:val="uk-UA" w:eastAsia="en-US"/>
        </w:rPr>
        <w:t>3</w:t>
      </w:r>
      <w:r>
        <w:rPr>
          <w:rFonts w:eastAsia="Times New Roman" w:cs="Times New Roman" w:ascii="Times New Roman" w:hAnsi="Times New Roman"/>
          <w:b/>
          <w:color w:val="2A2928"/>
          <w:shd w:fill="FFFFFF" w:val="clear"/>
          <w:lang w:eastAsia="en-US"/>
        </w:rPr>
        <w:t xml:space="preserve"> — 5шт “ (</w:t>
      </w:r>
      <w:r>
        <w:rPr>
          <w:rFonts w:eastAsia="Times New Roman" w:cs="Times New Roman" w:ascii="Times New Roman" w:hAnsi="Times New Roman"/>
          <w:b/>
          <w:i/>
        </w:rPr>
        <w:t xml:space="preserve">код згідно ЄЗС ДК 021:2015 - </w:t>
      </w:r>
      <w:r>
        <w:rPr>
          <w:rFonts w:cs="Times New Roman" w:ascii="Times New Roman" w:hAnsi="Times New Roman"/>
          <w:b/>
          <w:bCs/>
          <w:i/>
        </w:rPr>
        <w:t>32320000-2 Телевізійне й аудіовізуальне обладнання)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2098"/>
        <w:gridCol w:w="6409"/>
        <w:gridCol w:w="1244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 технічних вимог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sz w:val="20"/>
                <w:szCs w:val="20"/>
                <w:lang w:val="uk-UA"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ультимедійн</w:t>
            </w:r>
            <w:r>
              <w:rPr>
                <w:rFonts w:cs="Calibri" w:ascii="Times New Roman" w:hAnsi="Times New Roman"/>
                <w:b/>
                <w:bCs/>
                <w:sz w:val="20"/>
                <w:szCs w:val="20"/>
                <w:lang w:val="uk-UA" w:eastAsia="en-US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обладнання. Тип 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 складається: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03" w:hanging="14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Інтерактивна дошка – 1 шт.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03" w:hanging="14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Мультимедійний короткофокусний проектор – 1 шт.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03" w:hanging="14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Монтажний комплект (кріплення для проектора, кабель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м, кабель живлення – 10 м)  - 1 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А) Інтерактивна дошка: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Інтерактивна дошка з програмним забезпеченням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Дошка прямої проекції з можливістю настінного кріплення: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Діагональ активної області екрану: не менше 77"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Робоча поверхня білого кольору, тверда, зі спеціальним, стійким до ушкоджень антивідблисковим покриттям, розрахована, зокрема, для письма на ній маркерами на водяній основі;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Габаритні розміри дошки повинна бути не більше: ширина - 166 см, висота - 126 см.;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Дошка повинна забезпечувати можливість управління контентом безпосередньо за допомогою дотиків пальців руки, стилуса і будь-яких непрозорих предметів;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Дотикова технологія дошки повинна підтримувати: не менше 10-ти одночасних дотиків,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Дошка повинна комлектуватися не менше ніж 2-ма стилусами та мати відповідні кріплення для 2-х стилусів;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Вся активна поверхня дошки повинна бути доступна для використання, не допускається наявність додаткових зайвих елементів («гарачі» клавіши, написи тощо)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Технологія – інфрачервона;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Роздільна здатність позиціонування дотику – не менше ніж 32000×32000 точок;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Підключення: USB 2.0 (кабель USB довжиною не менше 3 м в комплекті)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Гарантія на дошку не менше 3 років. Гарантійні зобов’язання повинні надаватися безпосередньо виробником інтерактивної дошки. Замовник повинен мати можливість перевірити підтвердження наданої гарантії на сайті виробника. Для перевірки функціоналу учасник повинен надати посилання на відповідний сайт з прикладом не менше 3х серійних номерів.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Мультимедійний короткофокусний проектор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Світловий потік не менше 4000 ANSI люменів;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Роздільна здатність проектора повинна бути не менше XGA 1024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</w:rPr>
              <w:t> 768 пікселів, або WXGA 1280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</w:rPr>
              <w:t>800 пікселів.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 роботи лампи не менше 5000 годин у стандартному режимі.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Потужність джерела світла: не менше 240W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роботи лампи в економічному режимі: не менше 12000 годин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Об'єктив: F=2.7, f=7.15mm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Проекційний коефіцієнт: не більше 0.616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Цифровий зум: від 0.8x до 2.0x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 зображення 60 " -300"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Проекційна відстань: від  0.75 м  до 3.76 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(77"при 0.96 м)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 роздільної здатності: від VGA (640 x 480) до FullHD (1920 x 1080)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Роз’єми (без використання перехідників):VGA in: не менше 1, HDMI: не менше 2, Audio-in (3.5mm): не менше 1,VGAout:  менше 1, Audio-out (3.5mm): не менше 1, USB Type A (Power): не менше 1, RS232: не менше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Надати посилання на проектор на офіційному сайті виробника для підтвердження характеристик.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повинен комплектуватись спеціальним підвісом, який кріпиться безпосередньо над верхнім краєм інтерактивної дошки до стіни або до стелі; відстань від об’єктива проектора до площини проекції не більше 1 м; довжина інтерфейсного дроту - не менша, ніж необхідна для підключення пристрою до ПК педагогічного працівника у місці його встановлення.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Гарантія на проектор не менше 3 років;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гарантія на лампу проектора не менше 1 року або 1000 годин в робочому режимі.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Акустична 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–вбудована в проектор, потужністю не менше 16 Вт.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Базове програмне забезпечення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мультимедійного проектора: для перегляду навчального контенту; сумісне з операційною системою персонального комп’ютера педагогічного працівника.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0"/>
                <w:szCs w:val="20"/>
                <w:lang w:val="uk-UA"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ультимедійне обладнання. Тип 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Інтерактивна панель:</w:t>
              <w:br/>
              <w:t>діагональ не менше 65;</w:t>
              <w:br/>
              <w:t>мінімальна роздільна здатність зображення 3840×2160 пікселів;</w:t>
              <w:br/>
              <w:t>дотикова технологія управління контентом за допомогою дотиків пальців руки або стилуса/маркера забезпечує не менше 40 одночасних дотиків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Товщина скла не менше 4 мм, твердість 7 по Мосу, антиблікове скло екрану;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Яскравість не менше 450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Контрастність не менше 5000:1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Дисплей повинен забезпечувати кут огляду не менше 178 градусів;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 роботи матриці не менше 50000 годин; вбудована акустична система потужністю не менше 2х15 Вт;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Андроїд 11(з можливістю оновлення до Android 13.0)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WiFi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Bluetooth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наявність зовнішніх інтерфейсів (без використання перехідників) </w:t>
              <w:br/>
              <w:t xml:space="preserve">на передній панелі не менше HDMI 2.0 - 1 шт., USB 3.0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- 3 шт.,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USB-C - 1 шт., USB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>
              <w:rPr>
                <w:rFonts w:ascii="Times New Roman" w:hAnsi="Times New Roman"/>
                <w:sz w:val="20"/>
                <w:szCs w:val="20"/>
              </w:rPr>
              <w:t>) - 1 шт</w:t>
              <w:br/>
              <w:t xml:space="preserve">На задній панелі не менше HDMI 2.0 - 2 шт, HDMI 2.0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- 1 шт, USB 3.0 - 1 шт., USB для тачскріна - 1 шт , YPBPR - 1 шт, COXAL - 1 шт,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 шт,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 шт,  DP - 1 шт, RS232 - 1шт, вхід мікрофона, - 1 шт, вхід AV, - 1 шт, вихід AV OUT, - 1 шт, вхід для навушників, - 1 шт. TF- 1шт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 </w:t>
            </w:r>
            <w:r>
              <w:rPr>
                <w:rFonts w:ascii="Times New Roman" w:hAnsi="Times New Roman"/>
                <w:sz w:val="20"/>
                <w:szCs w:val="20"/>
              </w:rPr>
              <w:t>шт,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слот.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надати фото портів у складі пропозиції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 34 кг.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Надати посилання на панель на сайті виробника для перевірки технічних характеристик, у разі невідповідності пропозиція буде відхилена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Базове програмне забезпечення для інтерактивної панелі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попередньо встановлена ОС з безкоштовними оновленнями (за умови наявності комп'ютерного модуля);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можливість створення, перегляду та програвання інтерактивного навчального контенту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</w:tbl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Учасник у складі своєї пропозиції повинен надати: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 постачається новим (таким, що раніше не був у використанні), без механічних пошкоджень та виготовленим не раніше 2023 року.  Пакування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Порівняльну таблицю технічних характеристик запропонованого товару та товару, що є предметом закупівлі, із обов'язковим зазначенням відомостей про виробника та моделі запропонованого товару, яка підтверджує відповідність пропозиції учасника вимогам замовника до предмету закупівлі, викладеним у технічній специфікації. Всі характеристики запропонованого товару повинні бути не гірші, ніж ті, що зазначені у технічній специфікації.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підтвердження легального походження запропонованого товару (інтерактивної панелі,), Учасник повинен надати Лист-авторизацію на участь в торгах від виробника та/або офіційного дистриб’ютора, наданий Учаснику лист повинен включати в себе: назву Учасника, номер оголошення, що оприлюднене на веб-порталі Уповноваженого органу, назву товару та предмета закупівлі відповідно до оголошення про проведення процедури закупівлі.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Сертифікат експертизи типу на інтерактивну панель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Копію декларації про відповідність на відповідність вимогам технічного регламенту затвердженого КМУ від 10.03.2017 №139 запропонованого проектору вимогам відповідних технічних регламентів.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Копію декларації про відповідність на відповідність вимогам технічного регламенту затвердженого ПКМУ від 16.12.2015 №1077 запропонованого проектору вимогам відповідних технічних регламентів.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Копію декларації про відповідність на відповідність вимогам технічного регламенту затвердженого ПКМУ від 16.12.2015 №1067 запропонованого проектору вимогам відповідних технічних регламентів.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Сертифікат відповідності на проектор ДСТУ EN 60950-1:2015, ДСТУ EN 55024:2017, ДСТУ EN 61000-3-2:2016, ДСТУ EN 61000-3-2:2016,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складі тендерної пропозиції Учасник повинен надати копії сертифікатів </w:t>
      </w:r>
      <w:r>
        <w:rPr>
          <w:rFonts w:ascii="Times New Roman" w:hAnsi="Times New Roman"/>
          <w:sz w:val="24"/>
          <w:szCs w:val="24"/>
          <w:lang w:val="en-US" w:eastAsia="ru-RU"/>
        </w:rPr>
        <w:t>ISO</w:t>
      </w:r>
      <w:r>
        <w:rPr>
          <w:rFonts w:ascii="Times New Roman" w:hAnsi="Times New Roman"/>
          <w:sz w:val="24"/>
          <w:szCs w:val="24"/>
          <w:lang w:eastAsia="ru-RU"/>
        </w:rPr>
        <w:t xml:space="preserve"> 9001:2015, 14001:2015, 45001:2018, 27001:2013 виданих виробнику запропонованих інтерактивних панелей стосовно відповідності виробництва таких товарів вимогам зазначених стандартів, що мають бути дійсні на момент розкриття пропозицій (всі документи мають бути Українською мовою, в разі надання документів іншою мовою вони повинні надаватись мовою оригіналу з обов’язковим перекладом Українською мовою з нотаріальним засвідченням)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6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Гарантійний лист про надання гарантії на все обладнання, із зазначенням строку гарантії.</w:t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ind w:right="223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9"/>
    <w:qFormat/>
    <w:pPr>
      <w:widowControl w:val="false"/>
      <w:spacing w:lineRule="auto" w:line="240" w:before="0" w:after="0"/>
      <w:outlineLvl w:val="0"/>
    </w:pPr>
    <w:rPr>
      <w:b/>
      <w:bCs/>
      <w:sz w:val="24"/>
      <w:szCs w:val="24"/>
      <w:lang w:eastAsia="uk-U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e45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Style12" w:customStyle="1">
    <w:name w:val="Основной текст Знак"/>
    <w:basedOn w:val="DefaultParagraphFont"/>
    <w:link w:val="a3"/>
    <w:uiPriority w:val="99"/>
    <w:qFormat/>
    <w:rPr>
      <w:rFonts w:ascii="Times New Roman" w:hAnsi="Times New Roman" w:cs="Times New Roman"/>
      <w:sz w:val="24"/>
      <w:szCs w:val="24"/>
      <w:lang w:eastAsia="uk-UA"/>
    </w:rPr>
  </w:style>
  <w:style w:type="character" w:styleId="Style13">
    <w:name w:val="Гіперпосилання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12" w:customStyle="1">
    <w:name w:val="Незакрита згадка1"/>
    <w:basedOn w:val="DefaultParagraphFont"/>
    <w:uiPriority w:val="99"/>
    <w:qFormat/>
    <w:rPr>
      <w:rFonts w:ascii="Times New Roman" w:hAnsi="Times New Roman" w:cs="Times New Roman"/>
      <w:color w:val="000000"/>
      <w:shd w:fill="auto" w:val="clear"/>
    </w:rPr>
  </w:style>
  <w:style w:type="character" w:styleId="NormalWebChar" w:customStyle="1">
    <w:name w:val="Normal (Web) Char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NoSpacingChar" w:customStyle="1">
    <w:name w:val="No Spacing Char"/>
    <w:uiPriority w:val="99"/>
    <w:qFormat/>
    <w:rPr>
      <w:sz w:val="22"/>
      <w:szCs w:val="22"/>
      <w:lang w:val="uk-UA" w:eastAsia="ar-SA" w:bidi="ar-SA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Pr>
      <w:rFonts w:ascii="Times New Roman" w:hAnsi="Times New Roman" w:cs="Times New Roman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link w:val="ae"/>
    <w:uiPriority w:val="99"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eading2Char" w:customStyle="1">
    <w:name w:val="Heading 2 Char"/>
    <w:basedOn w:val="DefaultParagraphFont"/>
    <w:uiPriority w:val="99"/>
    <w:qFormat/>
    <w:rPr>
      <w:rFonts w:ascii="Cambria" w:hAnsi="Cambria" w:cs="Cambria"/>
      <w:b/>
      <w:bCs/>
      <w:i/>
      <w:iCs/>
      <w:sz w:val="28"/>
      <w:szCs w:val="28"/>
      <w:lang w:val="uk-UA" w:eastAsia="en-US"/>
    </w:rPr>
  </w:style>
  <w:style w:type="character" w:styleId="Spanrvts0" w:customStyle="1">
    <w:name w:val="span_rvts0"/>
    <w:basedOn w:val="DefaultParagraphFont"/>
    <w:qFormat/>
    <w:rsid w:val="00ef63bb"/>
    <w:rPr>
      <w:rFonts w:ascii="Times New Roman" w:hAnsi="Times New Roman" w:eastAsia="Times New Roman" w:cs="Times New Roman"/>
      <w:b w:val="false"/>
      <w:bCs w:val="false"/>
      <w:i w:val="false"/>
      <w:iCs w:val="false"/>
      <w:sz w:val="24"/>
      <w:szCs w:val="24"/>
    </w:rPr>
  </w:style>
  <w:style w:type="character" w:styleId="Spanrvts80" w:customStyle="1">
    <w:name w:val="span_rvts80"/>
    <w:basedOn w:val="DefaultParagraphFont"/>
    <w:qFormat/>
    <w:rsid w:val="00ef63bb"/>
    <w:rPr>
      <w:rFonts w:ascii="Lucida Sans Unicode" w:hAnsi="Lucida Sans Unicode" w:eastAsia="Lucida Sans Unicode" w:cs="Lucida Sans Unicode"/>
      <w:b/>
      <w:bCs/>
      <w:i w:val="false"/>
      <w:iCs w:val="false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e45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uk-UA" w:eastAsia="en-US"/>
    </w:rPr>
  </w:style>
  <w:style w:type="character" w:styleId="Style17" w:customStyle="1">
    <w:name w:val="Основной текст_"/>
    <w:basedOn w:val="DefaultParagraphFont"/>
    <w:link w:val="14"/>
    <w:qFormat/>
    <w:rsid w:val="0071210b"/>
    <w:rPr>
      <w:rFonts w:ascii="Times New Roman" w:hAnsi="Times New Roman" w:eastAsia="Times New Roman" w:cs="Times New Roman"/>
    </w:rPr>
  </w:style>
  <w:style w:type="character" w:styleId="Style18" w:customStyle="1">
    <w:name w:val="Абзац списка Знак"/>
    <w:link w:val="a6"/>
    <w:uiPriority w:val="1"/>
    <w:qFormat/>
    <w:rsid w:val="00a16c03"/>
    <w:rPr>
      <w:rFonts w:ascii="Calibri" w:hAnsi="Calibri" w:cs="Calibri"/>
      <w:lang w:val="uk-UA" w:eastAsia="en-US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4d5282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uiPriority w:val="99"/>
    <w:pPr>
      <w:widowControl w:val="false"/>
      <w:spacing w:lineRule="auto" w:line="240" w:before="0" w:after="0"/>
    </w:pPr>
    <w:rPr>
      <w:sz w:val="24"/>
      <w:szCs w:val="24"/>
      <w:lang w:eastAsia="uk-UA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99"/>
    <w:qFormat/>
    <w:pPr>
      <w:widowControl w:val="false"/>
      <w:spacing w:lineRule="auto" w:line="240" w:before="0" w:after="0"/>
    </w:pPr>
    <w:rPr>
      <w:lang w:eastAsia="uk-UA"/>
    </w:rPr>
  </w:style>
  <w:style w:type="paragraph" w:styleId="ListParagraph">
    <w:name w:val="List Paragraph"/>
    <w:basedOn w:val="Normal"/>
    <w:link w:val="a7"/>
    <w:uiPriority w:val="1"/>
    <w:qFormat/>
    <w:pPr>
      <w:ind w:left="720" w:hanging="0"/>
    </w:pPr>
    <w:rPr/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uk-UA" w:eastAsia="ar-SA" w:bidi="ar-SA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b"/>
    <w:uiPriority w:val="9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14" w:customStyle="1">
    <w:name w:val="Обычный1"/>
    <w:uiPriority w:val="99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" w:cs="Arial"/>
      <w:color w:val="000000"/>
      <w:kern w:val="0"/>
      <w:sz w:val="22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pPr>
      <w:spacing w:lineRule="auto" w:line="240" w:beforeAutospacing="1" w:afterAutospacing="1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 w:customStyle="1">
    <w:name w:val="Звичайний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0"/>
      <w:szCs w:val="20"/>
      <w:lang w:val="uk-UA" w:eastAsia="ru-RU" w:bidi="ar-SA"/>
    </w:rPr>
  </w:style>
  <w:style w:type="paragraph" w:styleId="16" w:customStyle="1">
    <w:name w:val="Основной текст1"/>
    <w:basedOn w:val="Normal"/>
    <w:link w:val="af1"/>
    <w:qFormat/>
    <w:rsid w:val="0071210b"/>
    <w:pPr>
      <w:widowControl w:val="false"/>
      <w:spacing w:lineRule="auto" w:line="264" w:before="0" w:after="0"/>
      <w:ind w:firstLine="400"/>
    </w:pPr>
    <w:rPr>
      <w:rFonts w:ascii="Times New Roman" w:hAnsi="Times New Roman" w:eastAsia="Times New Roman" w:cs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LibreOffice/7.0.3.1$Windows_X86_64 LibreOffice_project/d7547858d014d4cf69878db179d326fc3483e082</Application>
  <Pages>3</Pages>
  <Words>1082</Words>
  <Characters>6762</Characters>
  <CharactersWithSpaces>7780</CharactersWithSpaces>
  <Paragraphs>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2024-04-05T12:48:00Z</dcterms:created>
  <dc:creator>ZASTUPNIK</dc:creator>
  <dc:description/>
  <dc:language>uk-UA</dc:language>
  <cp:lastModifiedBy/>
  <cp:lastPrinted>2023-11-21T13:28:00Z</cp:lastPrinted>
  <dcterms:modified xsi:type="dcterms:W3CDTF">2024-04-23T12:06:17Z</dcterms:modified>
  <cp:revision>9</cp:revision>
  <dc:subject/>
  <dc:title>№ з/п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