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36" w:rsidRDefault="00812836">
      <w:pPr>
        <w:pStyle w:val="11"/>
        <w:shd w:val="clear" w:color="auto" w:fill="auto"/>
        <w:jc w:val="left"/>
        <w:rPr>
          <w:lang w:val="uk-UA"/>
        </w:rPr>
      </w:pPr>
    </w:p>
    <w:p w:rsidR="003934D1" w:rsidRPr="00AE53F6" w:rsidRDefault="003934D1" w:rsidP="007600D2">
      <w:pPr>
        <w:widowControl w:val="0"/>
        <w:shd w:val="clear" w:color="auto" w:fill="FFFFFF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53F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AE53F6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AE53F6">
        <w:rPr>
          <w:rFonts w:ascii="Times New Roman" w:hAnsi="Times New Roman" w:cs="Times New Roman"/>
          <w:sz w:val="24"/>
          <w:szCs w:val="24"/>
          <w:lang w:val="uk-UA"/>
        </w:rPr>
        <w:t xml:space="preserve"> зміни в Додаток №2 до тендерної документації «Інформація про необхідні технічні, якісні та кількісні характеристики предмету закупівлі»</w:t>
      </w:r>
      <w:r w:rsidR="00505493" w:rsidRPr="00AE53F6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Pr="00AE53F6">
        <w:rPr>
          <w:rFonts w:ascii="Times New Roman" w:hAnsi="Times New Roman" w:cs="Times New Roman"/>
          <w:sz w:val="24"/>
          <w:szCs w:val="24"/>
          <w:lang w:val="uk-UA"/>
        </w:rPr>
        <w:t xml:space="preserve">викласти </w:t>
      </w:r>
      <w:r w:rsidR="00AE53F6" w:rsidRPr="00AE53F6">
        <w:rPr>
          <w:rFonts w:ascii="Times New Roman" w:hAnsi="Times New Roman" w:cs="Times New Roman"/>
          <w:sz w:val="24"/>
          <w:szCs w:val="24"/>
          <w:lang w:val="uk-UA"/>
        </w:rPr>
        <w:t>п. 8  «</w:t>
      </w:r>
      <w:r w:rsidR="00AE53F6" w:rsidRPr="00AE53F6">
        <w:rPr>
          <w:rFonts w:ascii="Times New Roman" w:eastAsia="Times New Roman" w:hAnsi="Times New Roman"/>
          <w:b/>
          <w:lang w:val="uk-UA"/>
        </w:rPr>
        <w:t>Кількість,</w:t>
      </w:r>
      <w:r w:rsidR="00AE53F6" w:rsidRPr="00AE53F6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="00AE53F6" w:rsidRPr="00AE53F6">
        <w:rPr>
          <w:rFonts w:ascii="Times New Roman" w:eastAsia="Times New Roman" w:hAnsi="Times New Roman"/>
          <w:b/>
          <w:lang w:val="uk-UA"/>
        </w:rPr>
        <w:t>обсяг</w:t>
      </w:r>
      <w:r w:rsidR="00AE53F6" w:rsidRPr="00AE53F6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="00AE53F6" w:rsidRPr="00AE53F6">
        <w:rPr>
          <w:rFonts w:ascii="Times New Roman" w:eastAsia="Times New Roman" w:hAnsi="Times New Roman"/>
          <w:b/>
          <w:lang w:val="uk-UA"/>
        </w:rPr>
        <w:t>поставки</w:t>
      </w:r>
      <w:r w:rsidR="00AE53F6" w:rsidRPr="00AE53F6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="00AE53F6" w:rsidRPr="00AE53F6">
        <w:rPr>
          <w:rFonts w:ascii="Times New Roman" w:eastAsia="Times New Roman" w:hAnsi="Times New Roman"/>
          <w:b/>
          <w:lang w:val="uk-UA"/>
        </w:rPr>
        <w:t>та</w:t>
      </w:r>
      <w:r w:rsidR="00AE53F6" w:rsidRPr="00AE53F6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="00AE53F6" w:rsidRPr="00AE53F6">
        <w:rPr>
          <w:rFonts w:ascii="Times New Roman" w:eastAsia="Times New Roman" w:hAnsi="Times New Roman"/>
          <w:b/>
          <w:lang w:val="uk-UA"/>
        </w:rPr>
        <w:t>інші</w:t>
      </w:r>
      <w:r w:rsidR="00AE53F6" w:rsidRPr="00AE53F6">
        <w:rPr>
          <w:rFonts w:ascii="Times New Roman" w:eastAsia="Times New Roman" w:hAnsi="Times New Roman"/>
          <w:b/>
          <w:spacing w:val="-2"/>
          <w:lang w:val="uk-UA"/>
        </w:rPr>
        <w:t xml:space="preserve"> </w:t>
      </w:r>
      <w:r w:rsidR="00AE53F6" w:rsidRPr="00AE53F6">
        <w:rPr>
          <w:rFonts w:ascii="Times New Roman" w:eastAsia="Times New Roman" w:hAnsi="Times New Roman"/>
          <w:b/>
          <w:lang w:val="uk-UA"/>
        </w:rPr>
        <w:t>характеристики</w:t>
      </w:r>
      <w:r w:rsidR="00AE53F6" w:rsidRPr="00AE53F6">
        <w:rPr>
          <w:rFonts w:ascii="Times New Roman" w:eastAsia="Times New Roman" w:hAnsi="Times New Roman"/>
          <w:b/>
          <w:spacing w:val="-5"/>
          <w:lang w:val="uk-UA"/>
        </w:rPr>
        <w:t xml:space="preserve"> </w:t>
      </w:r>
      <w:r w:rsidR="00AE53F6" w:rsidRPr="00AE53F6">
        <w:rPr>
          <w:rFonts w:ascii="Times New Roman" w:eastAsia="Times New Roman" w:hAnsi="Times New Roman"/>
          <w:b/>
          <w:lang w:val="uk-UA"/>
        </w:rPr>
        <w:t>товару</w:t>
      </w:r>
      <w:r w:rsidR="00AE53F6" w:rsidRPr="00AE53F6">
        <w:rPr>
          <w:rFonts w:ascii="Times New Roman" w:eastAsia="Times New Roman" w:hAnsi="Times New Roman"/>
          <w:b/>
          <w:lang w:val="uk-UA"/>
        </w:rPr>
        <w:t>»</w:t>
      </w:r>
      <w:r w:rsidR="00AE53F6">
        <w:rPr>
          <w:rFonts w:ascii="Times New Roman" w:eastAsia="Times New Roman" w:hAnsi="Times New Roman"/>
          <w:b/>
          <w:lang w:val="uk-UA"/>
        </w:rPr>
        <w:t xml:space="preserve"> </w:t>
      </w:r>
      <w:r w:rsidRPr="00AE53F6">
        <w:rPr>
          <w:rFonts w:ascii="Times New Roman" w:hAnsi="Times New Roman" w:cs="Times New Roman"/>
          <w:sz w:val="24"/>
          <w:szCs w:val="24"/>
          <w:lang w:val="uk-UA"/>
        </w:rPr>
        <w:t>в наступній редакції:</w:t>
      </w:r>
    </w:p>
    <w:p w:rsidR="007600D2" w:rsidRDefault="007600D2" w:rsidP="007600D2">
      <w:pPr>
        <w:widowControl w:val="0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00D2" w:rsidRPr="00A36F92" w:rsidRDefault="005330AE" w:rsidP="007600D2">
      <w:pPr>
        <w:widowControl w:val="0"/>
        <w:tabs>
          <w:tab w:val="left" w:pos="907"/>
        </w:tabs>
        <w:suppressAutoHyphens w:val="0"/>
        <w:autoSpaceDE w:val="0"/>
        <w:autoSpaceDN w:val="0"/>
        <w:spacing w:after="0" w:line="240" w:lineRule="auto"/>
        <w:ind w:left="-199" w:right="105"/>
        <w:jc w:val="both"/>
        <w:rPr>
          <w:rFonts w:ascii="Times New Roman" w:eastAsia="Times New Roman" w:hAnsi="Times New Roman"/>
          <w:b/>
        </w:rPr>
      </w:pPr>
      <w:r w:rsidRPr="006617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00D2" w:rsidRPr="007600D2">
        <w:rPr>
          <w:rFonts w:ascii="Times New Roman" w:hAnsi="Times New Roman" w:cs="Times New Roman"/>
          <w:lang w:val="uk-UA"/>
        </w:rPr>
        <w:t>8.</w:t>
      </w:r>
      <w:r w:rsidR="00760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00D2" w:rsidRPr="005523E2">
        <w:rPr>
          <w:rFonts w:ascii="Times New Roman" w:eastAsia="Times New Roman" w:hAnsi="Times New Roman"/>
          <w:b/>
        </w:rPr>
        <w:t>Кількість</w:t>
      </w:r>
      <w:proofErr w:type="spellEnd"/>
      <w:r w:rsidR="007600D2" w:rsidRPr="005523E2">
        <w:rPr>
          <w:rFonts w:ascii="Times New Roman" w:eastAsia="Times New Roman" w:hAnsi="Times New Roman"/>
          <w:b/>
        </w:rPr>
        <w:t>,</w:t>
      </w:r>
      <w:r w:rsidR="007600D2" w:rsidRPr="005523E2">
        <w:rPr>
          <w:rFonts w:ascii="Times New Roman" w:eastAsia="Times New Roman" w:hAnsi="Times New Roman"/>
          <w:b/>
          <w:spacing w:val="-2"/>
        </w:rPr>
        <w:t xml:space="preserve"> </w:t>
      </w:r>
      <w:proofErr w:type="spellStart"/>
      <w:r w:rsidR="007600D2" w:rsidRPr="005523E2">
        <w:rPr>
          <w:rFonts w:ascii="Times New Roman" w:eastAsia="Times New Roman" w:hAnsi="Times New Roman"/>
          <w:b/>
        </w:rPr>
        <w:t>обсяг</w:t>
      </w:r>
      <w:proofErr w:type="spellEnd"/>
      <w:r w:rsidR="007600D2" w:rsidRPr="005523E2">
        <w:rPr>
          <w:rFonts w:ascii="Times New Roman" w:eastAsia="Times New Roman" w:hAnsi="Times New Roman"/>
          <w:b/>
          <w:spacing w:val="-2"/>
        </w:rPr>
        <w:t xml:space="preserve"> </w:t>
      </w:r>
      <w:r w:rsidR="007600D2" w:rsidRPr="005523E2">
        <w:rPr>
          <w:rFonts w:ascii="Times New Roman" w:eastAsia="Times New Roman" w:hAnsi="Times New Roman"/>
          <w:b/>
        </w:rPr>
        <w:t>поставки</w:t>
      </w:r>
      <w:r w:rsidR="007600D2" w:rsidRPr="005523E2">
        <w:rPr>
          <w:rFonts w:ascii="Times New Roman" w:eastAsia="Times New Roman" w:hAnsi="Times New Roman"/>
          <w:b/>
          <w:spacing w:val="-2"/>
        </w:rPr>
        <w:t xml:space="preserve"> </w:t>
      </w:r>
      <w:r w:rsidR="007600D2" w:rsidRPr="005523E2">
        <w:rPr>
          <w:rFonts w:ascii="Times New Roman" w:eastAsia="Times New Roman" w:hAnsi="Times New Roman"/>
          <w:b/>
        </w:rPr>
        <w:t>та</w:t>
      </w:r>
      <w:r w:rsidR="007600D2" w:rsidRPr="005523E2">
        <w:rPr>
          <w:rFonts w:ascii="Times New Roman" w:eastAsia="Times New Roman" w:hAnsi="Times New Roman"/>
          <w:b/>
          <w:spacing w:val="-2"/>
        </w:rPr>
        <w:t xml:space="preserve"> </w:t>
      </w:r>
      <w:proofErr w:type="spellStart"/>
      <w:r w:rsidR="007600D2" w:rsidRPr="005523E2">
        <w:rPr>
          <w:rFonts w:ascii="Times New Roman" w:eastAsia="Times New Roman" w:hAnsi="Times New Roman"/>
          <w:b/>
        </w:rPr>
        <w:t>інші</w:t>
      </w:r>
      <w:proofErr w:type="spellEnd"/>
      <w:r w:rsidR="007600D2" w:rsidRPr="005523E2">
        <w:rPr>
          <w:rFonts w:ascii="Times New Roman" w:eastAsia="Times New Roman" w:hAnsi="Times New Roman"/>
          <w:b/>
          <w:spacing w:val="-2"/>
        </w:rPr>
        <w:t xml:space="preserve"> </w:t>
      </w:r>
      <w:r w:rsidR="007600D2" w:rsidRPr="005523E2">
        <w:rPr>
          <w:rFonts w:ascii="Times New Roman" w:eastAsia="Times New Roman" w:hAnsi="Times New Roman"/>
          <w:b/>
        </w:rPr>
        <w:t>характеристики</w:t>
      </w:r>
      <w:r w:rsidR="007600D2" w:rsidRPr="005523E2">
        <w:rPr>
          <w:rFonts w:ascii="Times New Roman" w:eastAsia="Times New Roman" w:hAnsi="Times New Roman"/>
          <w:b/>
          <w:spacing w:val="-5"/>
        </w:rPr>
        <w:t xml:space="preserve"> </w:t>
      </w:r>
      <w:r w:rsidR="007600D2" w:rsidRPr="005523E2">
        <w:rPr>
          <w:rFonts w:ascii="Times New Roman" w:eastAsia="Times New Roman" w:hAnsi="Times New Roman"/>
          <w:b/>
        </w:rPr>
        <w:t>товару:</w:t>
      </w:r>
    </w:p>
    <w:tbl>
      <w:tblPr>
        <w:tblW w:w="10520" w:type="dxa"/>
        <w:tblInd w:w="-773" w:type="dxa"/>
        <w:tblLayout w:type="fixed"/>
        <w:tblLook w:val="04A0" w:firstRow="1" w:lastRow="0" w:firstColumn="1" w:lastColumn="0" w:noHBand="0" w:noVBand="1"/>
      </w:tblPr>
      <w:tblGrid>
        <w:gridCol w:w="597"/>
        <w:gridCol w:w="2127"/>
        <w:gridCol w:w="5245"/>
        <w:gridCol w:w="1134"/>
        <w:gridCol w:w="1417"/>
      </w:tblGrid>
      <w:tr w:rsidR="00AE53F6" w:rsidRPr="00AE53F6" w:rsidTr="00336637">
        <w:trPr>
          <w:trHeight w:val="10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 w:bidi="uk-UA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  <w:t>Найменування товару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  <w:t>Технічний 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b/>
                <w:bCs/>
                <w:color w:val="000000"/>
                <w:lang w:val="uk-UA" w:eastAsia="uk-UA" w:bidi="uk-UA"/>
              </w:rPr>
              <w:t>Кількість</w:t>
            </w:r>
          </w:p>
        </w:tc>
      </w:tr>
      <w:tr w:rsidR="00AE53F6" w:rsidRPr="00AE53F6" w:rsidTr="00336637">
        <w:trPr>
          <w:trHeight w:val="10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Кран сталевий шаровий із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цільнозварним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корпусом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11с34п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PN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, діаметр 32 мм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приєднання - комбіноване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Номінальний діаметр DN (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Ду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) - 32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Діаметр проходу - 25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Номінальний тиск PN (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Ру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) - 40 бар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проходу  -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ab/>
              <w:t>стандартно прохідний (звужений)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Корпус крана -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цільнозварний</w:t>
            </w:r>
            <w:proofErr w:type="spellEnd"/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корпусу - сталь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Марка матеріалу корпусу - сталь 20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Монтажна довжина - 220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Ущільнення шару - PTFE (фторопласт)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Температура робочого середовища (вода, пар), до 180 ˚С                                         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Робоче середовище - вода, газ, нейтральне середовище, нафтопродукти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крану - двоходовий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Особливості крану – з ручкою-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>важелем</w:t>
            </w:r>
            <w:proofErr w:type="spellEnd"/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Спосіб приєднання сварка/фланець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Спосіб управління - ручний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Вага – не більше 2,7 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proofErr w:type="spellStart"/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4</w:t>
            </w:r>
          </w:p>
        </w:tc>
      </w:tr>
      <w:tr w:rsidR="00AE53F6" w:rsidRPr="00AE53F6" w:rsidTr="00336637">
        <w:trPr>
          <w:trHeight w:val="10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Засувка з  гумовим клином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GS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Espana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(або еквівалент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*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D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50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Номінальний прохід – 50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засувки – клинова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Спосіб приєднання – фланцева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корпусу – чавун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ущільнення – гума (EPDM)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Температура робочого середовища (вода, пар), до 120 ˚С                                         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Номінальний тиск  PN 16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кгс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/см2                                                                                                                                           Спосіб управління - ручний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Робоче середовище – вода, пара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Конструкція штоку – невисувний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Монтажна довжина – 150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Вага – не більше 12 кг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Засувка повинна мати зовнішнє і внутрішнє епоксидне антикорозійне покриття корпусу, що наплавляється, товщина якого має бути не менше 250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мкм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, і повинна забезпечити роботу цієї засувки в особливо важких умовах. Корпус засувки має бути виготовлений із високоміцного чавуну з кулястим графітом, що при ударах не лопається, не розмерзається, має невеликі геометричні розміри та малу вагу.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має бути придатна для встановлення в колодязях з ґрунтовими водами і зовсім без колодязя, у мокрих ґрунтах, стійка до блукаючих електричних струмів.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На підтвердження якості і відповідності товару учасники в складі своєї тендерної пропозиції надають сертифікат та паспорт.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proofErr w:type="spellStart"/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</w:tr>
      <w:tr w:rsidR="00AE53F6" w:rsidRPr="00AE53F6" w:rsidTr="00336637">
        <w:trPr>
          <w:trHeight w:val="10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з  гумовим клином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GS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Espana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(або еквівалент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*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D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Номінальний прохід – 80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засувки – клинова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Спосіб приєднання – фланцева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корпусу – чавун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ущільнення – гума (EPDM)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Температура робочого середовища (вода, пар), до 120 ˚С                                         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Номінальний тиск  PN 16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кгс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/см2                                                                                                                                           Спосіб управління - ручний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Робоче середовище – вода, пара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Конструкція штоку – невисувний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Монтажна довжина – 180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Вага – не більше 22 кг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Засувка повинна мати зовнішнє і внутрішнє епоксидне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lastRenderedPageBreak/>
              <w:t xml:space="preserve">антикорозійне покриття корпусу, що наплавляється, товщина якого має бути не менше 250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мкм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, і повинна забезпечити роботу цієї засувки в особливо важких умовах. Корпус засувки має бути виготовлений із високоміцного чавуну з кулястим графітом, що при ударах не лопається, не розмерзається, має невеликі геометричні розміри та малу вагу.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має бути придатна для встановлення в колодязях з ґрунтовими водами і зовсім без колодязя, у мокрих ґрунтах, стійка до блукаючих електричних струмів.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На підтвердження якості і відповідності товару учасники в складі своєї тендерної пропозиції надають сертифікат та паспорт.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lastRenderedPageBreak/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1</w:t>
            </w:r>
          </w:p>
        </w:tc>
      </w:tr>
      <w:tr w:rsidR="00AE53F6" w:rsidRPr="00AE53F6" w:rsidTr="00336637">
        <w:trPr>
          <w:trHeight w:val="10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з  гумовим клином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GS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Espana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(або еквівалент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*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D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10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Номінальний прохід – 100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засувки – клинова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Спосіб приєднання – фланцева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корпусу – чавун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ущільнення – гума (EPDM)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Температура робочого середовища (вода, пар), до 120 ˚С                                         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Номінальний тиск  PN 16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кгс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/см2                                                                                                                                           Спосіб управління - ручний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Робоче середовище – вода, пара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Конструкція штоку – невисувний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Монтажна довжина – 190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Вага – не більше 23 кг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Засувка повинна мати зовнішнє і внутрішнє епоксидне антикорозійне покриття корпусу, що наплавляється, товщина якого має бути не менше 250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мкм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, і повинна забезпечити роботу цієї засувки в особливо важких умовах. Корпус засувки має бути виготовлений із високоміцного чавуну з кулястим графітом, що при ударах не лопається, не розмерзається, має невеликі геометричні розміри та малу вагу.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має бути придатна для встановлення в колодязях з ґрунтовими водами і зовсім без колодязя, у мокрих ґрунтах, стійка до блукаючих електричних струмів.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На підтвердження якості і відповідності товару учасники в складі своєї тендерної пропозиції надають сертифікат та паспорт.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12</w:t>
            </w:r>
          </w:p>
        </w:tc>
      </w:tr>
      <w:tr w:rsidR="00AE53F6" w:rsidRPr="00AE53F6" w:rsidTr="00336637">
        <w:trPr>
          <w:trHeight w:val="106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з  гумовим клином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GS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Espana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(або еквівалент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*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)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 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 w:bidi="uk-UA"/>
              </w:rPr>
              <w:t>D</w:t>
            </w: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uk-UA"/>
              </w:rPr>
              <w:t xml:space="preserve"> 125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Номінальний прохід – 125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Тип засувки – клинова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Спосіб приєднання – фланцева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корпусу – чавун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Матеріал ущільнення - гума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Температура робочого середовища (вода, пар), не більше 120 ˚С                                         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Номінальний тиск  PN 16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кгс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/см2                                                                                                                                           Спосіб управління - ручний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Робоче середовище – вода, пара      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Конструкція штоку – невисувний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Монтажна довжина – 200 мм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Вага – не більше 33 кг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 xml:space="preserve">Засувка повинна мати зовнішнє і внутрішнє епоксидне антикорозійне покриття корпусу, що наплавляється, товщина якого має бути не менше 250 </w:t>
            </w:r>
            <w:proofErr w:type="spellStart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мкм</w:t>
            </w:r>
            <w:proofErr w:type="spellEnd"/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, і повинна забезпечити роботу цієї засувки в особливо важких умовах. Корпус засувки має бути виготовлений із високоміцного чавуну з кулястим графітом, що при ударах не лопається, не розмерзається, має невеликі геометричні розміри та малу вагу.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Засувка має бути придатна для встановлення в колодязях з ґрунтовими водами і зовсім без колодязя, у мокрих ґрунтах, стійка до блукаючих електричних струмів.</w:t>
            </w:r>
          </w:p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</w:pPr>
            <w:r w:rsidRPr="00AE5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 w:bidi="uk-UA"/>
              </w:rPr>
              <w:t>На підтвердження якості і відповідності товару учасники в складі своєї тендерної пропозиції надають сертифікат та паспорт.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proofErr w:type="spellStart"/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3F6" w:rsidRPr="00AE53F6" w:rsidRDefault="00AE53F6" w:rsidP="00AE53F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</w:pPr>
            <w:r w:rsidRPr="00AE53F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uk-UA" w:eastAsia="uk-UA" w:bidi="uk-UA"/>
              </w:rPr>
              <w:t>5</w:t>
            </w:r>
          </w:p>
        </w:tc>
      </w:tr>
    </w:tbl>
    <w:p w:rsidR="00AE53F6" w:rsidRPr="00AE53F6" w:rsidRDefault="00AE53F6" w:rsidP="00AE53F6">
      <w:pPr>
        <w:spacing w:after="0" w:line="25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AE53F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Примітка:</w:t>
      </w:r>
      <w:r w:rsidRPr="00AE53F6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характеристики повинні відповідати або бути кращими за показники, наведені у даній таблиці. Невиконання вимог цього розділу документації у пропозиції </w:t>
      </w:r>
      <w:r w:rsidRPr="00AE53F6">
        <w:rPr>
          <w:rFonts w:ascii="Times New Roman" w:eastAsia="Times New Roman" w:hAnsi="Times New Roman"/>
          <w:sz w:val="24"/>
          <w:szCs w:val="24"/>
          <w:lang w:val="uk-UA" w:eastAsia="uk-UA"/>
        </w:rPr>
        <w:lastRenderedPageBreak/>
        <w:t>Учасника призводить до її відхилення. 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еквівалент». У випадку, якщо Учасником буде запропоновано «еквівалент» та обладнання із іншими характеристиками, аніж ті, які передбачені у даному додатку – учасник подає додатково порівняльну характеристику та обґрунтування того, що запропоноване обладнання є кращим.</w:t>
      </w:r>
    </w:p>
    <w:p w:rsidR="00AE53F6" w:rsidRPr="00AE53F6" w:rsidRDefault="00AE53F6" w:rsidP="00AE53F6">
      <w:pPr>
        <w:spacing w:after="0" w:line="256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val="uk-UA" w:eastAsia="uk-UA"/>
        </w:rPr>
      </w:pPr>
      <w:r w:rsidRPr="00AE53F6">
        <w:rPr>
          <w:rFonts w:ascii="Times New Roman" w:eastAsia="Times New Roman" w:hAnsi="Times New Roman"/>
          <w:i/>
          <w:sz w:val="24"/>
          <w:szCs w:val="24"/>
          <w:lang w:val="uk-UA" w:eastAsia="uk-UA"/>
        </w:rPr>
        <w:t>*Еквівалентом є товари будь-якої торгівельної марки, фірми, конструкції, типу обладнання або матеріалу, джерела його походження або виробника, з рівнозначними, рівноцінними технічними, якісними характеристиками та показниками зазначеними у технічному завданні.</w:t>
      </w:r>
    </w:p>
    <w:p w:rsidR="00AE53F6" w:rsidRPr="00AE53F6" w:rsidRDefault="00AE53F6" w:rsidP="00586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AE53F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У разі надання еквіваленту, учасник надає порівняльну таблицю із зазначенням конкретної назви, технічних, кількісних, якісних хар</w:t>
      </w:r>
      <w:bookmarkStart w:id="0" w:name="_GoBack"/>
      <w:bookmarkEnd w:id="0"/>
      <w:r w:rsidRPr="00AE53F6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актеристик запропонованого еквіваленту у відповідності до технічних вимог встановлених Додатком 2 до тендерної документації.</w:t>
      </w:r>
      <w:r w:rsidR="00943A79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»</w:t>
      </w:r>
    </w:p>
    <w:p w:rsidR="00AE53F6" w:rsidRPr="00AE53F6" w:rsidRDefault="00AE53F6" w:rsidP="00AE53F6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812836" w:rsidRPr="00AE53F6" w:rsidRDefault="00812836">
      <w:pPr>
        <w:widowControl w:val="0"/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</w:pPr>
    </w:p>
    <w:p w:rsidR="00812836" w:rsidRPr="00661783" w:rsidRDefault="00812836">
      <w:pPr>
        <w:widowControl w:val="0"/>
        <w:suppressAutoHyphens w:val="0"/>
        <w:jc w:val="both"/>
        <w:rPr>
          <w:rFonts w:ascii="Times New Roman" w:hAnsi="Times New Roman" w:cs="Times New Roman"/>
          <w:color w:val="auto"/>
          <w:sz w:val="21"/>
          <w:szCs w:val="21"/>
          <w:lang w:val="uk-UA"/>
        </w:rPr>
      </w:pPr>
    </w:p>
    <w:p w:rsidR="00812836" w:rsidRPr="00661783" w:rsidRDefault="0081283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812836" w:rsidRPr="00661783" w:rsidRDefault="0081283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:rsidR="00812836" w:rsidRPr="00661783" w:rsidRDefault="0081283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Calibri"/>
          <w:b/>
          <w:bCs/>
          <w:sz w:val="20"/>
          <w:szCs w:val="20"/>
          <w:lang w:val="uk-UA" w:eastAsia="zh-CN"/>
        </w:rPr>
      </w:pPr>
    </w:p>
    <w:p w:rsidR="00812836" w:rsidRDefault="00FE25F9">
      <w:pPr>
        <w:tabs>
          <w:tab w:val="center" w:pos="5954"/>
          <w:tab w:val="right" w:pos="10489"/>
        </w:tabs>
        <w:spacing w:after="0"/>
        <w:rPr>
          <w:lang w:val="uk-UA"/>
        </w:rPr>
      </w:pPr>
      <w:r>
        <w:rPr>
          <w:rFonts w:ascii="Times New Roman" w:hAnsi="Times New Roman" w:cs="Times New Roman"/>
          <w:lang w:val="uk-UA" w:eastAsia="zh-CN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lang w:val="uk-UA" w:eastAsia="zh-CN"/>
        </w:rPr>
        <w:t xml:space="preserve">                                                                                                          </w:t>
      </w:r>
    </w:p>
    <w:p w:rsidR="00812836" w:rsidRDefault="00FE25F9">
      <w:pPr>
        <w:tabs>
          <w:tab w:val="center" w:pos="5954"/>
          <w:tab w:val="right" w:pos="10489"/>
        </w:tabs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ab/>
      </w:r>
      <w:r>
        <w:rPr>
          <w:rFonts w:cs="Calibri"/>
          <w:b/>
          <w:bCs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                                                                           </w:t>
      </w:r>
    </w:p>
    <w:sectPr w:rsidR="00812836">
      <w:pgSz w:w="11906" w:h="16838"/>
      <w:pgMar w:top="284" w:right="850" w:bottom="62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Mincho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CC"/>
    <w:family w:val="roman"/>
    <w:pitch w:val="variable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55A"/>
    <w:multiLevelType w:val="multilevel"/>
    <w:tmpl w:val="A44461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A197F"/>
    <w:multiLevelType w:val="multilevel"/>
    <w:tmpl w:val="BBAC6A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69C37C8"/>
    <w:multiLevelType w:val="hybridMultilevel"/>
    <w:tmpl w:val="6EA89C5A"/>
    <w:lvl w:ilvl="0" w:tplc="BCCC8058">
      <w:start w:val="1"/>
      <w:numFmt w:val="decimal"/>
      <w:lvlText w:val="%1."/>
      <w:lvlJc w:val="left"/>
      <w:pPr>
        <w:ind w:left="118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0CCAF388">
      <w:numFmt w:val="bullet"/>
      <w:lvlText w:val="•"/>
      <w:lvlJc w:val="left"/>
      <w:pPr>
        <w:ind w:left="1094" w:hanging="317"/>
      </w:pPr>
      <w:rPr>
        <w:rFonts w:hint="default"/>
        <w:lang w:val="uk-UA" w:eastAsia="en-US" w:bidi="ar-SA"/>
      </w:rPr>
    </w:lvl>
    <w:lvl w:ilvl="2" w:tplc="3A7E7DE8">
      <w:numFmt w:val="bullet"/>
      <w:lvlText w:val="•"/>
      <w:lvlJc w:val="left"/>
      <w:pPr>
        <w:ind w:left="2069" w:hanging="317"/>
      </w:pPr>
      <w:rPr>
        <w:rFonts w:hint="default"/>
        <w:lang w:val="uk-UA" w:eastAsia="en-US" w:bidi="ar-SA"/>
      </w:rPr>
    </w:lvl>
    <w:lvl w:ilvl="3" w:tplc="A4E434E0">
      <w:numFmt w:val="bullet"/>
      <w:lvlText w:val="•"/>
      <w:lvlJc w:val="left"/>
      <w:pPr>
        <w:ind w:left="3043" w:hanging="317"/>
      </w:pPr>
      <w:rPr>
        <w:rFonts w:hint="default"/>
        <w:lang w:val="uk-UA" w:eastAsia="en-US" w:bidi="ar-SA"/>
      </w:rPr>
    </w:lvl>
    <w:lvl w:ilvl="4" w:tplc="EB0A6DD2">
      <w:numFmt w:val="bullet"/>
      <w:lvlText w:val="•"/>
      <w:lvlJc w:val="left"/>
      <w:pPr>
        <w:ind w:left="4018" w:hanging="317"/>
      </w:pPr>
      <w:rPr>
        <w:rFonts w:hint="default"/>
        <w:lang w:val="uk-UA" w:eastAsia="en-US" w:bidi="ar-SA"/>
      </w:rPr>
    </w:lvl>
    <w:lvl w:ilvl="5" w:tplc="83AE187E">
      <w:numFmt w:val="bullet"/>
      <w:lvlText w:val="•"/>
      <w:lvlJc w:val="left"/>
      <w:pPr>
        <w:ind w:left="4993" w:hanging="317"/>
      </w:pPr>
      <w:rPr>
        <w:rFonts w:hint="default"/>
        <w:lang w:val="uk-UA" w:eastAsia="en-US" w:bidi="ar-SA"/>
      </w:rPr>
    </w:lvl>
    <w:lvl w:ilvl="6" w:tplc="EA322A5E">
      <w:numFmt w:val="bullet"/>
      <w:lvlText w:val="•"/>
      <w:lvlJc w:val="left"/>
      <w:pPr>
        <w:ind w:left="5967" w:hanging="317"/>
      </w:pPr>
      <w:rPr>
        <w:rFonts w:hint="default"/>
        <w:lang w:val="uk-UA" w:eastAsia="en-US" w:bidi="ar-SA"/>
      </w:rPr>
    </w:lvl>
    <w:lvl w:ilvl="7" w:tplc="AADAE2D0">
      <w:numFmt w:val="bullet"/>
      <w:lvlText w:val="•"/>
      <w:lvlJc w:val="left"/>
      <w:pPr>
        <w:ind w:left="6942" w:hanging="317"/>
      </w:pPr>
      <w:rPr>
        <w:rFonts w:hint="default"/>
        <w:lang w:val="uk-UA" w:eastAsia="en-US" w:bidi="ar-SA"/>
      </w:rPr>
    </w:lvl>
    <w:lvl w:ilvl="8" w:tplc="E08C0DBC">
      <w:numFmt w:val="bullet"/>
      <w:lvlText w:val="•"/>
      <w:lvlJc w:val="left"/>
      <w:pPr>
        <w:ind w:left="7917" w:hanging="317"/>
      </w:pPr>
      <w:rPr>
        <w:rFonts w:hint="default"/>
        <w:lang w:val="uk-UA" w:eastAsia="en-US" w:bidi="ar-SA"/>
      </w:rPr>
    </w:lvl>
  </w:abstractNum>
  <w:abstractNum w:abstractNumId="3" w15:restartNumberingAfterBreak="0">
    <w:nsid w:val="397E46ED"/>
    <w:multiLevelType w:val="multilevel"/>
    <w:tmpl w:val="4942FD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A67D22"/>
    <w:multiLevelType w:val="hybridMultilevel"/>
    <w:tmpl w:val="1F704B6A"/>
    <w:lvl w:ilvl="0" w:tplc="942AB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6"/>
    <w:rsid w:val="00215F2E"/>
    <w:rsid w:val="002232A8"/>
    <w:rsid w:val="0030359B"/>
    <w:rsid w:val="00347F4B"/>
    <w:rsid w:val="003614B9"/>
    <w:rsid w:val="003934D1"/>
    <w:rsid w:val="004023F0"/>
    <w:rsid w:val="0042419E"/>
    <w:rsid w:val="0046482C"/>
    <w:rsid w:val="00505493"/>
    <w:rsid w:val="005119B8"/>
    <w:rsid w:val="005330AE"/>
    <w:rsid w:val="00586F7B"/>
    <w:rsid w:val="0065364B"/>
    <w:rsid w:val="00661783"/>
    <w:rsid w:val="006B45E9"/>
    <w:rsid w:val="007600D2"/>
    <w:rsid w:val="00766815"/>
    <w:rsid w:val="00812836"/>
    <w:rsid w:val="008329DF"/>
    <w:rsid w:val="0084783D"/>
    <w:rsid w:val="00894978"/>
    <w:rsid w:val="00943A79"/>
    <w:rsid w:val="00973FE3"/>
    <w:rsid w:val="00986D0F"/>
    <w:rsid w:val="00AD72B5"/>
    <w:rsid w:val="00AE53F6"/>
    <w:rsid w:val="00B86C6E"/>
    <w:rsid w:val="00C2155C"/>
    <w:rsid w:val="00C42DFE"/>
    <w:rsid w:val="00C61578"/>
    <w:rsid w:val="00D244D4"/>
    <w:rsid w:val="00D87084"/>
    <w:rsid w:val="00D871F4"/>
    <w:rsid w:val="00DD6B9E"/>
    <w:rsid w:val="00E74D1A"/>
    <w:rsid w:val="00E818C9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C78C"/>
  <w15:docId w15:val="{35D45ABA-B34A-4D88-BA6C-E1931D4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0"/>
    <w:qFormat/>
    <w:pPr>
      <w:outlineLvl w:val="0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EA2AE6"/>
    <w:rPr>
      <w:rFonts w:ascii="Tahoma" w:hAnsi="Tahoma" w:cs="Tahoma"/>
      <w:sz w:val="16"/>
      <w:szCs w:val="16"/>
    </w:rPr>
  </w:style>
  <w:style w:type="character" w:customStyle="1" w:styleId="10">
    <w:name w:val="Гиперссылка1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Pr>
      <w:b/>
      <w:bCs/>
    </w:rPr>
  </w:style>
  <w:style w:type="character" w:customStyle="1" w:styleId="a8">
    <w:name w:val="Символ нумерации"/>
    <w:qFormat/>
  </w:style>
  <w:style w:type="character" w:styleId="a9">
    <w:name w:val="Emphasis"/>
    <w:qFormat/>
    <w:rPr>
      <w:i/>
      <w:iCs/>
    </w:rPr>
  </w:style>
  <w:style w:type="character" w:customStyle="1" w:styleId="aa">
    <w:name w:val="Основной текст_"/>
    <w:basedOn w:val="a2"/>
    <w:link w:val="11"/>
    <w:qFormat/>
    <w:rsid w:val="00FA1736"/>
    <w:rPr>
      <w:rFonts w:ascii="Times New Roman" w:eastAsia="Times New Roman" w:hAnsi="Times New Roman" w:cs="Times New Roman"/>
      <w:b/>
      <w:bCs/>
      <w:color w:val="121211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2"/>
    <w:link w:val="20"/>
    <w:qFormat/>
    <w:rsid w:val="00FA1736"/>
    <w:rPr>
      <w:rFonts w:ascii="Arial" w:eastAsia="Arial" w:hAnsi="Arial" w:cs="Arial"/>
      <w:b/>
      <w:bCs/>
      <w:color w:val="121211"/>
      <w:sz w:val="16"/>
      <w:szCs w:val="16"/>
      <w:shd w:val="clear" w:color="auto" w:fill="FFFFFF"/>
      <w:lang w:val="en-US" w:bidi="en-US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b">
    <w:name w:val="List"/>
    <w:basedOn w:val="a1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Balloon Text"/>
    <w:basedOn w:val="a"/>
    <w:uiPriority w:val="99"/>
    <w:semiHidden/>
    <w:unhideWhenUsed/>
    <w:qFormat/>
    <w:rsid w:val="00EA2A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Текст в заданном формате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</w:style>
  <w:style w:type="paragraph" w:customStyle="1" w:styleId="Default">
    <w:name w:val="Default"/>
    <w:qFormat/>
    <w:pPr>
      <w:widowControl w:val="0"/>
    </w:pPr>
    <w:rPr>
      <w:rFonts w:ascii="Calibri" w:eastAsia="Calibri" w:hAnsi="Calibri"/>
      <w:color w:val="000000"/>
      <w:sz w:val="24"/>
    </w:rPr>
  </w:style>
  <w:style w:type="paragraph" w:customStyle="1" w:styleId="af2">
    <w:name w:val="Верхний и нижний колонтитулы"/>
    <w:basedOn w:val="a"/>
    <w:qFormat/>
  </w:style>
  <w:style w:type="paragraph" w:customStyle="1" w:styleId="af3">
    <w:name w:val="Колонтитул"/>
    <w:basedOn w:val="a"/>
    <w:qFormat/>
  </w:style>
  <w:style w:type="paragraph" w:styleId="af4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andard">
    <w:name w:val="Standard"/>
    <w:qFormat/>
    <w:rsid w:val="00EF4E67"/>
    <w:pPr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f5">
    <w:name w:val="List Paragraph"/>
    <w:basedOn w:val="a"/>
    <w:uiPriority w:val="34"/>
    <w:qFormat/>
    <w:rsid w:val="001E42AB"/>
    <w:pPr>
      <w:ind w:left="720"/>
      <w:contextualSpacing/>
    </w:pPr>
  </w:style>
  <w:style w:type="paragraph" w:customStyle="1" w:styleId="11">
    <w:name w:val="Основной текст1"/>
    <w:basedOn w:val="a"/>
    <w:link w:val="aa"/>
    <w:qFormat/>
    <w:rsid w:val="00FA1736"/>
    <w:pPr>
      <w:widowControl w:val="0"/>
      <w:shd w:val="clear" w:color="auto" w:fill="FFFFFF"/>
      <w:suppressAutoHyphens w:val="0"/>
      <w:spacing w:after="0" w:line="264" w:lineRule="auto"/>
      <w:jc w:val="center"/>
    </w:pPr>
    <w:rPr>
      <w:rFonts w:ascii="Times New Roman" w:eastAsia="Times New Roman" w:hAnsi="Times New Roman" w:cs="Times New Roman"/>
      <w:b/>
      <w:bCs/>
      <w:color w:val="121211"/>
      <w:sz w:val="19"/>
      <w:szCs w:val="19"/>
    </w:rPr>
  </w:style>
  <w:style w:type="paragraph" w:customStyle="1" w:styleId="21">
    <w:name w:val="Основной текст (2)"/>
    <w:basedOn w:val="a"/>
    <w:qFormat/>
    <w:rsid w:val="00FA1736"/>
    <w:pPr>
      <w:widowControl w:val="0"/>
      <w:shd w:val="clear" w:color="auto" w:fill="FFFFFF"/>
      <w:suppressAutoHyphens w:val="0"/>
      <w:spacing w:after="0" w:line="288" w:lineRule="auto"/>
    </w:pPr>
    <w:rPr>
      <w:rFonts w:ascii="Arial" w:eastAsia="Arial" w:hAnsi="Arial" w:cs="Arial"/>
      <w:b/>
      <w:bCs/>
      <w:color w:val="121211"/>
      <w:sz w:val="16"/>
      <w:szCs w:val="16"/>
      <w:lang w:val="en-US" w:bidi="en-US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3"/>
    <w:uiPriority w:val="59"/>
    <w:rsid w:val="00EB5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3"/>
    <w:uiPriority w:val="59"/>
    <w:rsid w:val="006F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3"/>
    <w:link w:val="2"/>
    <w:uiPriority w:val="39"/>
    <w:rsid w:val="00E74D7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2232A8"/>
    <w:pPr>
      <w:suppressAutoHyphens w:val="0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EA79-5A66-4D28-AC36-60964277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user1tps</dc:creator>
  <dc:description/>
  <cp:lastModifiedBy>User</cp:lastModifiedBy>
  <cp:revision>8</cp:revision>
  <cp:lastPrinted>2023-11-01T12:38:00Z</cp:lastPrinted>
  <dcterms:created xsi:type="dcterms:W3CDTF">2023-11-02T19:24:00Z</dcterms:created>
  <dcterms:modified xsi:type="dcterms:W3CDTF">2023-11-14T11:00:00Z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