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ПРОЄКТ 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ДОГОВ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№ _________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 </w:t>
      </w:r>
      <w:r w:rsidRPr="00C164D6">
        <w:rPr>
          <w:rFonts w:ascii="Times New Roman" w:eastAsia="Calibri" w:hAnsi="Times New Roman" w:cs="Times New Roman"/>
          <w:sz w:val="24"/>
          <w:szCs w:val="24"/>
        </w:rPr>
        <w:t>Борислав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«______» ____________202</w:t>
      </w:r>
      <w:r w:rsidR="005B07B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Виконавчий комітет Бориславської міської ради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особі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міського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голови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Яворського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Ігоря Романовича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підставі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Закону України «Про місцеве самоврядування в Україні»</w:t>
      </w:r>
      <w:r w:rsidRPr="00C164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однієї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, та  _____________________________________________________________________________________</w:t>
      </w: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особі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___________________________________________________________________,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підставі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_____________________________________________________________________________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надалі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окремо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іменуються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Сторона, а разом –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уклали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наступне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1. ПРЕДМЕТ ДОГОВОРУ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1.1.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передати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власніть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знаки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оплати</w:t>
      </w:r>
      <w:r w:rsidRPr="00C164D6">
        <w:rPr>
          <w:rFonts w:ascii="Times New Roman" w:eastAsia="Calibri" w:hAnsi="Times New Roman" w:cs="Times New Roman"/>
          <w:sz w:val="24"/>
          <w:szCs w:val="24"/>
        </w:rPr>
        <w:t>-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650A">
        <w:rPr>
          <w:rFonts w:ascii="Times New Roman" w:eastAsia="Calibri" w:hAnsi="Times New Roman" w:cs="Times New Roman"/>
          <w:sz w:val="24"/>
          <w:szCs w:val="24"/>
          <w:lang w:val="ru-RU"/>
        </w:rPr>
        <w:t>Конверти</w:t>
      </w:r>
      <w:proofErr w:type="spellEnd"/>
      <w:r w:rsidR="005865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7D61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марковані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ЗПО),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код</w:t>
      </w:r>
      <w:r w:rsidRPr="00C164D6">
        <w:rPr>
          <w:rFonts w:ascii="Times New Roman" w:eastAsia="Calibri" w:hAnsi="Times New Roman" w:cs="Times New Roman"/>
          <w:sz w:val="24"/>
          <w:szCs w:val="24"/>
        </w:rPr>
        <w:t>ом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ДК 021:2015</w:t>
      </w:r>
      <w:r w:rsidRPr="00C164D6">
        <w:rPr>
          <w:rFonts w:ascii="Times New Roman" w:eastAsia="Calibri" w:hAnsi="Times New Roman" w:cs="Times New Roman"/>
          <w:sz w:val="24"/>
          <w:szCs w:val="24"/>
        </w:rPr>
        <w:t>:</w:t>
      </w:r>
      <w:r w:rsidR="004F7D61">
        <w:rPr>
          <w:rFonts w:ascii="Times New Roman" w:eastAsia="Calibri" w:hAnsi="Times New Roman" w:cs="Times New Roman"/>
          <w:sz w:val="24"/>
          <w:szCs w:val="24"/>
        </w:rPr>
        <w:t>30190000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-7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31B">
        <w:rPr>
          <w:rFonts w:ascii="Times New Roman" w:eastAsia="Calibri" w:hAnsi="Times New Roman" w:cs="Times New Roman"/>
          <w:sz w:val="24"/>
          <w:szCs w:val="24"/>
        </w:rPr>
        <w:t>Офісне устаткування та приладдя різне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прийняти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здійснити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попередню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оплату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замовлені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 на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умовах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1.2.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Асортимент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кількість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номінальна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Виконавцем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зазначено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Специфікації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1) та погоджується Сторонами за 14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моменту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партії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кожної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замовленої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партії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підставі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письмового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замовлення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зазначаються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накладних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вимогах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відпуск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внутрішнє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переміщення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матеріалів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типової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форми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№М-11,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Мінстату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21.06.1996 №193.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1.3. </w:t>
      </w:r>
      <w:r w:rsidRPr="00C164D6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агальна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кількість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є предметом Договору,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зменшена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залежності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реального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видатків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про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що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укладається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Додаткова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угода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 ЯКІСТЬ ЗПО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2.1.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поставити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вимогам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Галузевого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Зв'язок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Марки та блоки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ічні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 ГСТУ 45.027-2003»;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Державного стандарту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Зв'язок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Картки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ічні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 ДСТУ 3875-99»;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Державного стандарту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Зв'язок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Конверти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ічні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 ДСТУ 3876-99».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 </w:t>
      </w:r>
      <w:proofErr w:type="gramStart"/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</w:t>
      </w:r>
      <w:proofErr w:type="gramEnd"/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ІНА ДОГОВОРУ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складає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C164D6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грн. без ПДВ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номінальній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зазначається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Специфікації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Договору).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визначена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даному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Договорі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зменшена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реального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видатків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коштів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бюджету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зазначені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цілі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такому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вносять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зміни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шляхом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укладання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Додаткової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угоди.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3.3.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ішення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комісією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здійснює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державне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сфері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зв’язку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інформатизації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зміни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Граничних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тарифів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універсальні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послуги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зв’язку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нові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тарифи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набирають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чинності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вказаної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рішенні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обов’язковими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 та є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підставою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оплати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новими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тарифами з моменту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введення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без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оформлення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Додаткової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угоди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ПОРЯДОК ЗДІЙСНЕННЯ ОПЛАТИ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здійснює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оплату </w:t>
      </w:r>
      <w:r w:rsidRPr="00C164D6">
        <w:rPr>
          <w:rFonts w:ascii="Times New Roman" w:eastAsia="Calibri" w:hAnsi="Times New Roman" w:cs="Times New Roman"/>
          <w:sz w:val="24"/>
          <w:szCs w:val="24"/>
        </w:rPr>
        <w:t>за замовлені ЗПО згідно з їх номінальною вартістю (поштові марки) та ціною (марковані конверти та картки).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>4.2.  Замовник здійснює оплату за поставлені ЗПО упродовж 5 робочих днів  з моменту отримання кожної замовленої партії  ЗПО на підставі належно оформлених первинних документів (рахунка та накладної), наданих Замовнику.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4.3. Форма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розрахунків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безготівкова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4.4.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національній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валюті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 . ПЕРЕДАЧА ЗПО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5.1.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Строк передачі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ЗПО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згідно з графіком поставки (Додаток </w:t>
      </w:r>
      <w:r w:rsidR="00E81F6D">
        <w:rPr>
          <w:rFonts w:ascii="Times New Roman" w:eastAsia="Calibri" w:hAnsi="Times New Roman" w:cs="Times New Roman"/>
          <w:sz w:val="24"/>
          <w:szCs w:val="24"/>
        </w:rPr>
        <w:t>2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до договору).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164D6" w:rsidRPr="00C164D6" w:rsidRDefault="00C164D6" w:rsidP="00C164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5.2.Місце поставки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ЗПО: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вул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</w:rPr>
        <w:t>евченка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, 42,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м.Борислав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>, Львівська обл., 82300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5.4.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ісля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ЗПО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поверненню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обміну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підлягають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6. ПРАВА ТА ОБОВ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ЯЗКИ.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6.1.1.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Своєчасно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повному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обсязі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сплачувати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грошові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кошти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замовлені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6.1.2.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Приймати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передан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6.1.3.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Належним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чином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6.2.1.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Виконавцем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достроково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Договіру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повідомивши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письмово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Виконавця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протягом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20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робочих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виявлення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фактів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належного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останнім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6.2.2.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Контролювати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передачу ЗПО у строки,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>6.2.3. Повернути документи Виконавцю, без здійснення оплати, в разі неналежного оформлення документів, визначених у розділі 4 цього Договору (відсутність печатки, підписів тощо).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6.3.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6.3.1.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поставку ЗПО у строки,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Договором;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6.3.2.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поставку ЗПО,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умовам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розділом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ІІ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Договору;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6.3.3.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Належним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чином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6.3.4. Надати Замовнику всі необхідні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локументи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для приймання ЗПО.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6.4.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6.4.1.Своєчасно та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повному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обсязі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отримувати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плату за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поставлен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ЗПО.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6.4.2.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амовником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достроково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цей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повідомивши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письмово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протягом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>20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виявлення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фактів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неналежного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останнім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7. АНТИКОРУПЦІЙНЕ ЗАСТЕРЕЖЕННЯ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зобов’язуються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свого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персоналу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вимогам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антикорупційного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погоджуються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прямо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опосередковано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жодних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грошових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виплат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переваг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ільг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послуг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нематеріальних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активів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, будь-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вимоги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нематеріального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грошового характеру без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законних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те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підстав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чинити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вплив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службових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щоб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отримати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будь-яку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вигоду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перевагу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7.3.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Кожна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відмовляється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стимулювання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чином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числі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грошових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сум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подарунків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безоплатного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робіт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послуг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іншими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пункті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способами,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ставить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праці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вника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певну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залежність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спрямованого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працівником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користь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стимулюючої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його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8. ВІДПОВІДАЛЬНІСТЬ СТОРІН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8.1.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неналежного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своїх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Договором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несуть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передбачену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чинним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9. ОБСТАВИНИ НЕПЕРЕБОРНОЇ СИЛИ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звільняються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неналежне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виникнення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існували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укладання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виникли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поза волею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аварія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катастрофа,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стихійні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природні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явища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надзвичайної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ембарго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блокади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страйки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епідемія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епізоотія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війна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A54DA6"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9.2. Сторона,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внаслідок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повинна не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ізніше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 (десяти)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настання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закінчення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письмово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повідомити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Сторону.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випадку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посилатися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форс-мажору як на причину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обов’язкі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9.3.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Доказом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виникнення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строку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відповідні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видаються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органом.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9.4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неналежне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Стороною п.9.2.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позбавляє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посилатися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 на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ідставу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неналежного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9.5.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коли строк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продовжується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більше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одного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місяця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кожна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установленому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попередньої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повертає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кошти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протягом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трьох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9.6.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обставини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сили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триватимуть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понад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шість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місяців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кожна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в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односторонньому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письмово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повідомивши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іншу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сторону не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пізніше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ніж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20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розірвання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10. ВИРІШЕННЯ СПОРІВ.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10.1. 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випадку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виникнення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розбіжностей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Сторони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зобов’язуються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вирішувати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взаємних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переговорі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консультацій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10.2.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недосягнення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Сторонами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згоди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взаємних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переговорів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, спори (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розбіжності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судовому порядку. </w:t>
      </w:r>
      <w:proofErr w:type="gramEnd"/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11. СТРОК ДІЇ ДОГОВОРУ ТА УМОВИ ЙОГО ПРИПИНЕННЯ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набуває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чинності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r w:rsidRPr="00C164D6">
        <w:rPr>
          <w:rFonts w:ascii="Times New Roman" w:eastAsia="Calibri" w:hAnsi="Times New Roman" w:cs="Times New Roman"/>
          <w:sz w:val="24"/>
          <w:szCs w:val="24"/>
        </w:rPr>
        <w:t>моменту п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ідписання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його обома Сторонами 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діє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31.12.202</w:t>
      </w:r>
      <w:r w:rsidR="00C8150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</w:t>
      </w: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включно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, але в будь-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якому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випадку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повного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Сторонами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своїх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C164D6">
        <w:rPr>
          <w:rFonts w:ascii="Times New Roman" w:eastAsia="Calibri" w:hAnsi="Times New Roman" w:cs="Times New Roman"/>
          <w:sz w:val="24"/>
          <w:szCs w:val="24"/>
        </w:rPr>
        <w:t>2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Даний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Догові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Додатками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укладено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двох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українською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мовою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однакову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юридичну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силу, один з них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зберігається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Виконавця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другий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у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12. </w:t>
      </w:r>
      <w:r w:rsidR="000166D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ЗМІНИ УМОВ ДОГОВОРУ ТА </w:t>
      </w:r>
      <w:r w:rsidRPr="00C164D6">
        <w:rPr>
          <w:rFonts w:ascii="Times New Roman" w:eastAsia="Calibri" w:hAnsi="Times New Roman" w:cs="Times New Roman"/>
          <w:bCs/>
          <w:sz w:val="24"/>
          <w:szCs w:val="24"/>
        </w:rPr>
        <w:t>ІНШІ УМОВИ</w:t>
      </w:r>
    </w:p>
    <w:p w:rsidR="000166D4" w:rsidRDefault="000166D4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0166D4" w:rsidRPr="000166D4" w:rsidRDefault="000166D4" w:rsidP="00016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12.1 </w:t>
      </w:r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769"/>
      <w:bookmarkEnd w:id="0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770"/>
      <w:bookmarkEnd w:id="1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</w:t>
      </w:r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101"/>
      <w:bookmarkStart w:id="3" w:name="n1771"/>
      <w:bookmarkEnd w:id="2"/>
      <w:bookmarkEnd w:id="3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772"/>
      <w:bookmarkEnd w:id="4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773"/>
      <w:bookmarkEnd w:id="5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774"/>
      <w:bookmarkEnd w:id="6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0166D4" w:rsidRPr="000166D4" w:rsidRDefault="000166D4" w:rsidP="000166D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775"/>
      <w:bookmarkEnd w:id="7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Platts</w:t>
      </w:r>
      <w:proofErr w:type="spellEnd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166D4" w:rsidRPr="000166D4" w:rsidRDefault="000166D4" w:rsidP="00016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776"/>
      <w:bookmarkEnd w:id="8"/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8) зміни умов у зв’язку із застосуванням положень </w:t>
      </w:r>
      <w:hyperlink r:id="rId5" w:anchor="n1778" w:history="1">
        <w:r w:rsidRPr="000166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частини </w:t>
        </w:r>
        <w:proofErr w:type="spellStart"/>
        <w:r w:rsidRPr="000166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шостої</w:t>
        </w:r>
        <w:proofErr w:type="spellEnd"/>
      </w:hyperlink>
      <w:r w:rsidRPr="000166D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ст..41 Закону України </w:t>
      </w:r>
      <w:r w:rsidRPr="000166D4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публічні закупівлі».</w:t>
      </w:r>
    </w:p>
    <w:p w:rsidR="000166D4" w:rsidRPr="00201C2D" w:rsidRDefault="000166D4" w:rsidP="00016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0166D4" w:rsidRPr="000166D4" w:rsidRDefault="000166D4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</w:rPr>
        <w:t>12.</w:t>
      </w:r>
      <w:r w:rsidR="000166D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164D6">
        <w:rPr>
          <w:rFonts w:ascii="Times New Roman" w:eastAsia="Calibri" w:hAnsi="Times New Roman" w:cs="Times New Roman"/>
          <w:bCs/>
          <w:sz w:val="24"/>
          <w:szCs w:val="24"/>
        </w:rPr>
        <w:t xml:space="preserve"> Умови цього Договору мають однакову зобов’язальну силу для Сторін і можуть бути змінені за взаємною згодою Сторін з обов’язковим укладанням Додаткової угоди протягом дії Договору.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</w:rPr>
        <w:t xml:space="preserve">13. </w:t>
      </w: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ДОДАТКИ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C164D6">
        <w:rPr>
          <w:rFonts w:ascii="Times New Roman" w:eastAsia="Calibri" w:hAnsi="Times New Roman" w:cs="Times New Roman"/>
          <w:sz w:val="24"/>
          <w:szCs w:val="24"/>
        </w:rPr>
        <w:t>3</w:t>
      </w: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.1.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Додатки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є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невід’ємною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його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частиною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1 -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Специфікація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закуп</w:t>
      </w:r>
      <w:proofErr w:type="gram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івлю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знаків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оплати</w:t>
      </w:r>
      <w:r w:rsidRPr="00C164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164D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Додаток </w:t>
      </w:r>
      <w:r w:rsidR="000166D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C164D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Графік поставки конвертів маркованих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13. МІСЦЕЗНАХОДЖЕННЯ ТА БАНКІВСЬКІ РЕКВІЗИТИ СТОРІН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ab/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ЗАМОВНИК: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     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>ВИКОНАВЕЦЬ: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7"/>
        <w:gridCol w:w="4781"/>
      </w:tblGrid>
      <w:tr w:rsidR="00C164D6" w:rsidRPr="00C164D6" w:rsidTr="007255F7">
        <w:trPr>
          <w:trHeight w:val="528"/>
        </w:trPr>
        <w:tc>
          <w:tcPr>
            <w:tcW w:w="4507" w:type="dxa"/>
            <w:hideMark/>
          </w:tcPr>
          <w:p w:rsidR="00C164D6" w:rsidRPr="000166D4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Виконавчий комітет </w:t>
            </w:r>
          </w:p>
          <w:p w:rsidR="00C164D6" w:rsidRPr="000166D4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Бориславської міської ради</w:t>
            </w:r>
          </w:p>
          <w:p w:rsidR="00C164D6" w:rsidRPr="00C164D6" w:rsidRDefault="00C164D6" w:rsidP="00C16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вул. Шевченка, 42, м. Борислав, Львівська обл., 82300</w:t>
            </w:r>
          </w:p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UA__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0166D4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166D4">
              <w:rPr>
                <w:rFonts w:ascii="Times New Roman" w:eastAsia="Calibri" w:hAnsi="Times New Roman" w:cs="Times New Roman"/>
                <w:sz w:val="24"/>
                <w:szCs w:val="24"/>
              </w:rPr>
              <w:t>КСУ,Київ</w:t>
            </w:r>
          </w:p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МФО </w:t>
            </w:r>
            <w:r w:rsidR="000166D4">
              <w:rPr>
                <w:rFonts w:ascii="Times New Roman" w:eastAsia="Calibri" w:hAnsi="Times New Roman" w:cs="Times New Roman"/>
                <w:sz w:val="24"/>
                <w:szCs w:val="24"/>
              </w:rPr>
              <w:t>820172</w:t>
            </w:r>
          </w:p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22400792</w:t>
            </w:r>
          </w:p>
        </w:tc>
        <w:tc>
          <w:tcPr>
            <w:tcW w:w="4781" w:type="dxa"/>
          </w:tcPr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Міський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голова_______І.Р.Яв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>орський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401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C164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1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 xml:space="preserve">№ 1 </w:t>
      </w:r>
      <w:proofErr w:type="gramStart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</w:t>
      </w:r>
      <w:proofErr w:type="gramEnd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договору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C164D6" w:rsidRPr="00C164D6" w:rsidRDefault="00C164D6" w:rsidP="00C164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№ ______ </w:t>
      </w:r>
      <w:proofErr w:type="spellStart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«___» _______ 202</w:t>
      </w:r>
      <w:r w:rsidR="004011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СПЕЦИФІКАЦІЯ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5002"/>
        <w:gridCol w:w="4433"/>
      </w:tblGrid>
      <w:tr w:rsidR="00C164D6" w:rsidRPr="00C164D6" w:rsidTr="007255F7">
        <w:trPr>
          <w:jc w:val="center"/>
        </w:trPr>
        <w:tc>
          <w:tcPr>
            <w:tcW w:w="5000" w:type="dxa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4431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670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579"/>
        <w:gridCol w:w="3546"/>
        <w:gridCol w:w="707"/>
        <w:gridCol w:w="1591"/>
        <w:gridCol w:w="1596"/>
        <w:gridCol w:w="1651"/>
      </w:tblGrid>
      <w:tr w:rsidR="00C164D6" w:rsidRPr="00C164D6" w:rsidTr="007255F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іна</w:t>
            </w:r>
            <w:proofErr w:type="spell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Сума без ПДВ</w:t>
            </w:r>
          </w:p>
        </w:tc>
      </w:tr>
      <w:tr w:rsidR="00C1631B" w:rsidRPr="00C164D6" w:rsidTr="007255F7">
        <w:trPr>
          <w:trHeight w:val="5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891FBC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891FBC" w:rsidP="007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Конверт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маркований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891FBC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891FBC" w:rsidRDefault="00891FBC" w:rsidP="007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C1631B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B" w:rsidRPr="00C164D6" w:rsidRDefault="00C1631B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31B" w:rsidRPr="00C164D6" w:rsidTr="007255F7">
        <w:trPr>
          <w:trHeight w:val="5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915928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891FBC" w:rsidP="00891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Конверт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маркований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формату С5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891FBC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891FBC" w:rsidRDefault="00891FBC" w:rsidP="007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31B" w:rsidRPr="00C164D6" w:rsidRDefault="00C1631B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B" w:rsidRPr="00C164D6" w:rsidRDefault="00C1631B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4D6" w:rsidRPr="00C164D6" w:rsidTr="007255F7">
        <w:trPr>
          <w:trHeight w:val="5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D6" w:rsidRPr="00C164D6" w:rsidRDefault="00915928" w:rsidP="0091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D6" w:rsidRPr="00C164D6" w:rsidRDefault="00C164D6" w:rsidP="00891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Конверт </w:t>
            </w:r>
            <w:r w:rsidR="0089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маркований </w:t>
            </w:r>
            <w:r w:rsidR="00784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формату </w:t>
            </w:r>
            <w:r w:rsidR="0089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4D6" w:rsidRPr="00C164D6" w:rsidRDefault="00891FBC" w:rsidP="00891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4D6" w:rsidRPr="00C164D6" w:rsidTr="007255F7">
        <w:tc>
          <w:tcPr>
            <w:tcW w:w="579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7" w:type="dxa"/>
            <w:gridSpan w:val="2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Разом без ПДВ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4D6" w:rsidRPr="00C164D6" w:rsidTr="007255F7">
        <w:tc>
          <w:tcPr>
            <w:tcW w:w="579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7" w:type="dxa"/>
            <w:gridSpan w:val="2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64D6" w:rsidRPr="00C164D6" w:rsidTr="007255F7">
        <w:tc>
          <w:tcPr>
            <w:tcW w:w="579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7" w:type="dxa"/>
            <w:gridSpan w:val="2"/>
            <w:hideMark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з ПДВ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Всього</w:t>
      </w:r>
      <w:proofErr w:type="spellEnd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суму: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4D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________________________________________грн., в т.ч. 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ПДВ:</w:t>
      </w:r>
      <w:r w:rsidRPr="00C164D6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грн.</w:t>
      </w: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4507"/>
        <w:gridCol w:w="495"/>
        <w:gridCol w:w="4286"/>
        <w:gridCol w:w="147"/>
      </w:tblGrid>
      <w:tr w:rsidR="00C164D6" w:rsidRPr="00C164D6" w:rsidTr="00E54D9C">
        <w:trPr>
          <w:jc w:val="center"/>
        </w:trPr>
        <w:tc>
          <w:tcPr>
            <w:tcW w:w="5002" w:type="dxa"/>
            <w:gridSpan w:val="2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64D6" w:rsidRPr="00C164D6" w:rsidRDefault="00C164D6" w:rsidP="00C16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</w:t>
            </w:r>
          </w:p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ВИКОНАВЕЦЬ</w:t>
            </w:r>
          </w:p>
          <w:p w:rsidR="00C164D6" w:rsidRPr="00C164D6" w:rsidRDefault="00C164D6" w:rsidP="00C1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D9C" w:rsidRPr="00C164D6" w:rsidTr="00E54D9C">
        <w:tblPrEx>
          <w:jc w:val="left"/>
        </w:tblPrEx>
        <w:trPr>
          <w:gridAfter w:val="1"/>
          <w:wAfter w:w="147" w:type="dxa"/>
          <w:trHeight w:val="528"/>
        </w:trPr>
        <w:tc>
          <w:tcPr>
            <w:tcW w:w="4507" w:type="dxa"/>
            <w:hideMark/>
          </w:tcPr>
          <w:p w:rsidR="00E54D9C" w:rsidRPr="000166D4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Виконавчий комітет </w:t>
            </w:r>
          </w:p>
          <w:p w:rsidR="00E54D9C" w:rsidRPr="000166D4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Бориславської міської ради</w:t>
            </w:r>
          </w:p>
          <w:p w:rsidR="00E54D9C" w:rsidRPr="00C164D6" w:rsidRDefault="00E54D9C" w:rsidP="00320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вул. Шевченка, 42, м. Борислав, Львівська обл., 82300</w:t>
            </w:r>
          </w:p>
          <w:p w:rsidR="00E54D9C" w:rsidRPr="00C164D6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UA__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C164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E54D9C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КСУ,Київ</w:t>
            </w:r>
          </w:p>
          <w:p w:rsidR="00E54D9C" w:rsidRPr="00C164D6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820172</w:t>
            </w:r>
          </w:p>
          <w:p w:rsidR="00E54D9C" w:rsidRPr="00C164D6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22400792</w:t>
            </w:r>
          </w:p>
        </w:tc>
        <w:tc>
          <w:tcPr>
            <w:tcW w:w="4781" w:type="dxa"/>
            <w:gridSpan w:val="2"/>
          </w:tcPr>
          <w:p w:rsidR="00E54D9C" w:rsidRPr="00C164D6" w:rsidRDefault="00E54D9C" w:rsidP="0032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54D9C" w:rsidRPr="00C164D6" w:rsidRDefault="00E54D9C" w:rsidP="00E54D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4D9C" w:rsidRPr="00C164D6" w:rsidRDefault="00E54D9C" w:rsidP="00E5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D6">
        <w:rPr>
          <w:rFonts w:ascii="Times New Roman" w:eastAsia="Calibri" w:hAnsi="Times New Roman" w:cs="Times New Roman"/>
          <w:sz w:val="24"/>
          <w:szCs w:val="24"/>
        </w:rPr>
        <w:t xml:space="preserve">Міський </w:t>
      </w:r>
      <w:proofErr w:type="spellStart"/>
      <w:r w:rsidRPr="00C164D6">
        <w:rPr>
          <w:rFonts w:ascii="Times New Roman" w:eastAsia="Calibri" w:hAnsi="Times New Roman" w:cs="Times New Roman"/>
          <w:sz w:val="24"/>
          <w:szCs w:val="24"/>
        </w:rPr>
        <w:t>голова_______І.Р.Яв</w:t>
      </w:r>
      <w:proofErr w:type="spellEnd"/>
      <w:r w:rsidRPr="00C164D6">
        <w:rPr>
          <w:rFonts w:ascii="Times New Roman" w:eastAsia="Calibri" w:hAnsi="Times New Roman" w:cs="Times New Roman"/>
          <w:sz w:val="24"/>
          <w:szCs w:val="24"/>
        </w:rPr>
        <w:t>орський</w:t>
      </w:r>
    </w:p>
    <w:p w:rsidR="00E54D9C" w:rsidRPr="00C164D6" w:rsidRDefault="00E54D9C" w:rsidP="00E5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GoBack"/>
      <w:bookmarkEnd w:id="9"/>
      <w:r w:rsidRPr="00C164D6">
        <w:rPr>
          <w:rFonts w:ascii="Times New Roman" w:eastAsia="Calibri" w:hAnsi="Times New Roman" w:cs="Times New Roman"/>
          <w:b/>
          <w:sz w:val="24"/>
          <w:szCs w:val="24"/>
          <w:lang w:val="ru-RU"/>
        </w:rPr>
        <w:br w:type="page"/>
      </w:r>
    </w:p>
    <w:p w:rsidR="00C164D6" w:rsidRPr="00C164D6" w:rsidRDefault="000166D4" w:rsidP="00C1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</w:t>
      </w:r>
      <w:r w:rsidR="00C164D6" w:rsidRPr="00C1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даток № </w:t>
      </w:r>
      <w:r w:rsidR="00E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 Договору про закупівлю товару </w:t>
      </w: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№__________ від ___________ року</w:t>
      </w: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ГРАФІК ПОСТАВКИ</w:t>
      </w:r>
    </w:p>
    <w:p w:rsidR="00C164D6" w:rsidRPr="00C164D6" w:rsidRDefault="00C164D6" w:rsidP="00C164D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конвертів маркованих</w:t>
      </w:r>
    </w:p>
    <w:p w:rsidR="00C164D6" w:rsidRPr="00C164D6" w:rsidRDefault="00C164D6" w:rsidP="00C16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"/>
        <w:gridCol w:w="567"/>
        <w:gridCol w:w="993"/>
        <w:gridCol w:w="708"/>
        <w:gridCol w:w="709"/>
        <w:gridCol w:w="2552"/>
      </w:tblGrid>
      <w:tr w:rsidR="00A54DA6" w:rsidRPr="00C164D6" w:rsidTr="00A54DA6">
        <w:trPr>
          <w:trHeight w:val="670"/>
        </w:trPr>
        <w:tc>
          <w:tcPr>
            <w:tcW w:w="568" w:type="dxa"/>
            <w:vMerge w:val="restart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A54DA6" w:rsidRPr="00C164D6" w:rsidRDefault="00A54DA6" w:rsidP="00C164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  <w:p w:rsidR="00A54DA6" w:rsidRPr="00C164D6" w:rsidRDefault="00A54DA6" w:rsidP="00C164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A54DA6" w:rsidRPr="009E2AA5" w:rsidRDefault="00A54DA6" w:rsidP="009E2AA5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9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Місяці</w:t>
            </w:r>
            <w:proofErr w:type="spellEnd"/>
            <w:r w:rsidRPr="009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року</w:t>
            </w:r>
          </w:p>
        </w:tc>
        <w:tc>
          <w:tcPr>
            <w:tcW w:w="709" w:type="dxa"/>
          </w:tcPr>
          <w:p w:rsidR="00A54DA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</w:tcPr>
          <w:p w:rsidR="00A54DA6" w:rsidRPr="009E2AA5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9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</w:t>
            </w:r>
            <w:proofErr w:type="spellEnd"/>
            <w:r w:rsidRPr="009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A54DA6" w:rsidRPr="00C164D6" w:rsidTr="00A54DA6">
        <w:trPr>
          <w:trHeight w:val="380"/>
        </w:trPr>
        <w:tc>
          <w:tcPr>
            <w:tcW w:w="568" w:type="dxa"/>
            <w:vMerge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54DA6" w:rsidRPr="00C164D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A54DA6" w:rsidRPr="00C164D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993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X</w:t>
            </w:r>
          </w:p>
        </w:tc>
        <w:tc>
          <w:tcPr>
            <w:tcW w:w="708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</w:t>
            </w:r>
          </w:p>
        </w:tc>
        <w:tc>
          <w:tcPr>
            <w:tcW w:w="709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XII</w:t>
            </w:r>
          </w:p>
        </w:tc>
        <w:tc>
          <w:tcPr>
            <w:tcW w:w="2552" w:type="dxa"/>
            <w:vMerge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DA6" w:rsidRPr="00C164D6" w:rsidTr="00A54DA6">
        <w:trPr>
          <w:trHeight w:val="728"/>
        </w:trPr>
        <w:tc>
          <w:tcPr>
            <w:tcW w:w="568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A54DA6" w:rsidRPr="00C164D6" w:rsidRDefault="00891FBC" w:rsidP="00891F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Конверт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маркований</w:t>
            </w:r>
            <w:proofErr w:type="spell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DL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right w:val="nil"/>
            </w:tcBorders>
          </w:tcPr>
          <w:p w:rsidR="00A54DA6" w:rsidRPr="00C164D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708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A54DA6" w:rsidRPr="00915928" w:rsidRDefault="00A54DA6" w:rsidP="000D4F3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54DA6" w:rsidRPr="00915928" w:rsidRDefault="00A54DA6" w:rsidP="000D4F3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891FBC" w:rsidRPr="00C164D6" w:rsidTr="00A54DA6">
        <w:tc>
          <w:tcPr>
            <w:tcW w:w="568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891FBC" w:rsidRPr="000D4F31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Конверт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маркований</w:t>
            </w:r>
            <w:proofErr w:type="spell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формату С5</w:t>
            </w:r>
          </w:p>
        </w:tc>
        <w:tc>
          <w:tcPr>
            <w:tcW w:w="283" w:type="dxa"/>
            <w:tcBorders>
              <w:right w:val="nil"/>
            </w:tcBorders>
          </w:tcPr>
          <w:p w:rsidR="00891FBC" w:rsidRPr="00C164D6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91FBC" w:rsidRPr="00915928" w:rsidRDefault="00891FBC" w:rsidP="000D4F3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30</w:t>
            </w:r>
          </w:p>
        </w:tc>
        <w:tc>
          <w:tcPr>
            <w:tcW w:w="708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91FBC" w:rsidRPr="00915928" w:rsidRDefault="00891FBC" w:rsidP="009E2AA5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891FBC" w:rsidRPr="00915928" w:rsidRDefault="00891FBC" w:rsidP="009E2AA5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30</w:t>
            </w:r>
          </w:p>
        </w:tc>
      </w:tr>
      <w:tr w:rsidR="00891FBC" w:rsidRPr="00C164D6" w:rsidTr="00A54DA6">
        <w:tc>
          <w:tcPr>
            <w:tcW w:w="568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891FBC" w:rsidRPr="000D4F31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Конверт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маркований</w:t>
            </w:r>
            <w:proofErr w:type="spellEnd"/>
            <w:r w:rsidRPr="00C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формату 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" w:type="dxa"/>
            <w:tcBorders>
              <w:right w:val="nil"/>
            </w:tcBorders>
          </w:tcPr>
          <w:p w:rsidR="00891FBC" w:rsidRPr="00C164D6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91FBC" w:rsidRPr="00915928" w:rsidRDefault="00891FBC" w:rsidP="000D4F3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30</w:t>
            </w:r>
          </w:p>
        </w:tc>
        <w:tc>
          <w:tcPr>
            <w:tcW w:w="708" w:type="dxa"/>
          </w:tcPr>
          <w:p w:rsidR="00891FBC" w:rsidRPr="00915928" w:rsidRDefault="00891FBC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891FBC" w:rsidRPr="00915928" w:rsidRDefault="00891FBC" w:rsidP="009E2AA5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891FBC" w:rsidRPr="00915928" w:rsidRDefault="00891FBC" w:rsidP="009E2AA5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30</w:t>
            </w:r>
          </w:p>
        </w:tc>
      </w:tr>
      <w:tr w:rsidR="00A54DA6" w:rsidRPr="00C164D6" w:rsidTr="00A54DA6">
        <w:tc>
          <w:tcPr>
            <w:tcW w:w="568" w:type="dxa"/>
          </w:tcPr>
          <w:p w:rsidR="00A54DA6" w:rsidRPr="00C164D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4DA6" w:rsidRPr="000D4F31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83" w:type="dxa"/>
            <w:tcBorders>
              <w:right w:val="nil"/>
            </w:tcBorders>
          </w:tcPr>
          <w:p w:rsidR="00A54DA6" w:rsidRPr="00C164D6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54DA6" w:rsidRPr="00915928" w:rsidRDefault="00A54DA6" w:rsidP="000D4F3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A54DA6" w:rsidRPr="00915928" w:rsidRDefault="00A54DA6" w:rsidP="00891FBC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891FBC"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708" w:type="dxa"/>
          </w:tcPr>
          <w:p w:rsidR="00A54DA6" w:rsidRPr="00915928" w:rsidRDefault="00A54DA6" w:rsidP="00C164D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A54DA6" w:rsidRPr="00915928" w:rsidRDefault="00A54DA6" w:rsidP="009E2AA5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54DA6" w:rsidRPr="00915928" w:rsidRDefault="00A54DA6" w:rsidP="00891FBC">
            <w:pPr>
              <w:tabs>
                <w:tab w:val="left" w:pos="375"/>
                <w:tab w:val="center" w:pos="813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  <w:t xml:space="preserve">   9</w:t>
            </w:r>
            <w:r w:rsidR="00891FBC"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9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 </w:t>
            </w:r>
          </w:p>
        </w:tc>
      </w:tr>
    </w:tbl>
    <w:p w:rsidR="00C164D6" w:rsidRPr="00C164D6" w:rsidRDefault="00C164D6" w:rsidP="00C16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D6" w:rsidRPr="00C164D6" w:rsidRDefault="00C164D6" w:rsidP="00C16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>ЗАМОВНИК: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     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C164D6">
        <w:rPr>
          <w:rFonts w:ascii="Times New Roman" w:eastAsia="Calibri" w:hAnsi="Times New Roman" w:cs="Times New Roman"/>
          <w:b/>
          <w:bCs/>
          <w:sz w:val="24"/>
          <w:szCs w:val="24"/>
        </w:rPr>
        <w:t>ВИКОНАВЕЦЬ:</w:t>
      </w: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7"/>
        <w:gridCol w:w="4781"/>
      </w:tblGrid>
      <w:tr w:rsidR="00C164D6" w:rsidRPr="00C164D6" w:rsidTr="007255F7">
        <w:trPr>
          <w:trHeight w:val="528"/>
        </w:trPr>
        <w:tc>
          <w:tcPr>
            <w:tcW w:w="450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7"/>
              <w:gridCol w:w="4781"/>
            </w:tblGrid>
            <w:tr w:rsidR="00EA23E2" w:rsidRPr="00C164D6" w:rsidTr="0022542D">
              <w:trPr>
                <w:trHeight w:val="528"/>
              </w:trPr>
              <w:tc>
                <w:tcPr>
                  <w:tcW w:w="4507" w:type="dxa"/>
                  <w:hideMark/>
                </w:tcPr>
                <w:p w:rsidR="00EA23E2" w:rsidRPr="000166D4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66D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Виконавчий комітет </w:t>
                  </w:r>
                </w:p>
                <w:p w:rsidR="00EA23E2" w:rsidRPr="000166D4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66D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Бориславської міської ради</w:t>
                  </w:r>
                </w:p>
                <w:p w:rsidR="00EA23E2" w:rsidRPr="00C164D6" w:rsidRDefault="00EA23E2" w:rsidP="0022542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вул. Шевченка, 42, м. Борислав, Львівська обл., 82300</w:t>
                  </w:r>
                </w:p>
                <w:p w:rsidR="00EA23E2" w:rsidRPr="00C164D6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/р </w:t>
                  </w: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UA__</w:t>
                  </w: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</w:t>
                  </w: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________________</w:t>
                  </w:r>
                </w:p>
                <w:p w:rsidR="00EA23E2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КСУ,Київ</w:t>
                  </w:r>
                </w:p>
                <w:p w:rsidR="00EA23E2" w:rsidRPr="00C164D6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МФО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820172</w:t>
                  </w:r>
                </w:p>
                <w:p w:rsidR="00EA23E2" w:rsidRPr="00C164D6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164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ЄДРПОУ 22400792</w:t>
                  </w:r>
                </w:p>
              </w:tc>
              <w:tc>
                <w:tcPr>
                  <w:tcW w:w="4781" w:type="dxa"/>
                </w:tcPr>
                <w:p w:rsidR="00EA23E2" w:rsidRPr="00C164D6" w:rsidRDefault="00EA23E2" w:rsidP="002254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A23E2" w:rsidRPr="00C164D6" w:rsidRDefault="00EA23E2" w:rsidP="00EA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A23E2" w:rsidRPr="00C164D6" w:rsidRDefault="00EA23E2" w:rsidP="00EA2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Міський </w:t>
            </w:r>
            <w:proofErr w:type="spellStart"/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голова_______І.Р.Яв</w:t>
            </w:r>
            <w:proofErr w:type="spellEnd"/>
            <w:r w:rsidRPr="00C164D6">
              <w:rPr>
                <w:rFonts w:ascii="Times New Roman" w:eastAsia="Calibri" w:hAnsi="Times New Roman" w:cs="Times New Roman"/>
                <w:sz w:val="24"/>
                <w:szCs w:val="24"/>
              </w:rPr>
              <w:t>орський</w:t>
            </w:r>
          </w:p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C164D6" w:rsidRPr="00C164D6" w:rsidRDefault="00C164D6" w:rsidP="00C1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C164D6" w:rsidRPr="00C164D6" w:rsidRDefault="00C164D6" w:rsidP="00C164D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</w:pPr>
    </w:p>
    <w:p w:rsidR="00361DE6" w:rsidRDefault="00361DE6"/>
    <w:sectPr w:rsidR="00361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7F"/>
    <w:rsid w:val="000166D4"/>
    <w:rsid w:val="000D4F31"/>
    <w:rsid w:val="0017178F"/>
    <w:rsid w:val="001E0E7F"/>
    <w:rsid w:val="00361DE6"/>
    <w:rsid w:val="004011C2"/>
    <w:rsid w:val="004F7D61"/>
    <w:rsid w:val="0058650A"/>
    <w:rsid w:val="005B07BE"/>
    <w:rsid w:val="00784F2D"/>
    <w:rsid w:val="0082716A"/>
    <w:rsid w:val="00891FBC"/>
    <w:rsid w:val="00915928"/>
    <w:rsid w:val="00976BFA"/>
    <w:rsid w:val="009E2AA5"/>
    <w:rsid w:val="00A54DA6"/>
    <w:rsid w:val="00BE6A8A"/>
    <w:rsid w:val="00C1631B"/>
    <w:rsid w:val="00C164D6"/>
    <w:rsid w:val="00C8150A"/>
    <w:rsid w:val="00E54D9C"/>
    <w:rsid w:val="00E81F6D"/>
    <w:rsid w:val="00E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8438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Iryna</cp:lastModifiedBy>
  <cp:revision>9</cp:revision>
  <dcterms:created xsi:type="dcterms:W3CDTF">2022-09-19T09:23:00Z</dcterms:created>
  <dcterms:modified xsi:type="dcterms:W3CDTF">2022-09-20T10:28:00Z</dcterms:modified>
</cp:coreProperties>
</file>