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before="0" w:after="0"/>
        <w:ind w:left="0" w:hanging="0"/>
        <w:jc w:val="center"/>
        <w:outlineLvl w:val="0"/>
        <w:rPr>
          <w:b/>
          <w:b/>
          <w:bCs/>
        </w:rPr>
      </w:pPr>
      <w:r>
        <w:rPr>
          <w:rFonts w:ascii="Times New Roman" w:hAnsi="Times New Roman"/>
          <w:b/>
          <w:bCs/>
          <w:color w:val="000000" w:themeColor="text1"/>
          <w:sz w:val="28"/>
          <w:szCs w:val="28"/>
          <w:lang w:val="uk-UA"/>
        </w:rPr>
        <w:t>Деревина дров’яна непромислового використання 1-а група</w:t>
      </w:r>
    </w:p>
    <w:p>
      <w:pPr>
        <w:pStyle w:val="Normal"/>
        <w:widowControl w:val="false"/>
        <w:numPr>
          <w:ilvl w:val="0"/>
          <w:numId w:val="0"/>
        </w:numPr>
        <w:spacing w:lineRule="auto" w:line="240" w:before="0" w:after="0"/>
        <w:ind w:left="0" w:hanging="0"/>
        <w:jc w:val="center"/>
        <w:outlineLvl w:val="0"/>
        <w:rPr>
          <w:b/>
          <w:b/>
          <w:bCs/>
        </w:rPr>
      </w:pPr>
      <w:r>
        <w:rPr>
          <w:rFonts w:eastAsia="Times New Roman" w:cs="Times New Roman" w:ascii="Times New Roman" w:hAnsi="Times New Roman"/>
          <w:b/>
          <w:bCs/>
          <w:color w:val="000000" w:themeColor="text1"/>
          <w:kern w:val="0"/>
          <w:sz w:val="28"/>
          <w:szCs w:val="28"/>
          <w:lang w:val="uk-UA" w:eastAsia="ru-RU" w:bidi="ar-SA"/>
        </w:rPr>
        <w:t xml:space="preserve">Код ДК 021:2015 03410000-7 – деревина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36"/>
        <w:gridCol w:w="3156"/>
        <w:gridCol w:w="6627"/>
      </w:tblGrid>
      <w:tr>
        <w:trPr>
          <w:trHeight w:val="108" w:hRule="atLeast"/>
        </w:trPr>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2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+380997164889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rPr>
            </w:pPr>
            <w:r>
              <w:rPr>
                <w:rFonts w:eastAsia="Times New Roman" w:cs="Times New Roman" w:ascii="Times New Roman" w:hAnsi="Times New Roman"/>
                <w:b/>
                <w:bCs/>
                <w:color w:val="000000" w:themeColor="text1"/>
                <w:kern w:val="0"/>
                <w:sz w:val="28"/>
                <w:szCs w:val="28"/>
                <w:lang w:val="uk-UA" w:eastAsia="ru-RU" w:bidi="ar-SA"/>
              </w:rPr>
              <w:t>Деревина дров’яна непромислового використання 1-а група</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код ДК 021:2015:</w:t>
            </w:r>
            <w:r>
              <w:rPr>
                <w:rFonts w:eastAsia="Times New Roman" w:cs="Times New Roman" w:ascii="Times New Roman" w:hAnsi="Times New Roman"/>
                <w:b/>
                <w:bCs/>
                <w:i w:val="false"/>
                <w:caps w:val="false"/>
                <w:smallCaps w:val="false"/>
                <w:color w:val="000000" w:themeColor="text1"/>
                <w:spacing w:val="0"/>
                <w:kern w:val="0"/>
                <w:sz w:val="24"/>
                <w:szCs w:val="24"/>
                <w:lang w:val="uk-UA" w:eastAsia="ru-RU" w:bidi="ar-SA"/>
              </w:rPr>
              <w:t>03410000-7 – деревина</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rFonts w:ascii="Times New Roman" w:hAnsi="Times New Roman" w:eastAsia="Times New Roman" w:cs="Times New Roman"/>
                <w:b w:val="false"/>
                <w:b w:val="false"/>
                <w:bCs w:val="false"/>
                <w:kern w:val="0"/>
                <w:sz w:val="24"/>
                <w:szCs w:val="24"/>
                <w:lang w:val="uk-UA" w:eastAsia="ru-RU" w:bidi="ar-SA"/>
              </w:rPr>
            </w:pPr>
            <w:r>
              <w:rPr>
                <w:rFonts w:eastAsia="Times New Roman" w:cs="Times New Roman" w:ascii="Times New Roman" w:hAnsi="Times New Roman"/>
                <w:b/>
                <w:bCs w:val="false"/>
                <w:kern w:val="0"/>
                <w:sz w:val="24"/>
                <w:szCs w:val="24"/>
                <w:lang w:val="uk-UA" w:eastAsia="ru-RU" w:bidi="ar-SA"/>
              </w:rPr>
            </w:r>
          </w:p>
        </w:tc>
      </w:tr>
      <w:tr>
        <w:trPr>
          <w:trHeight w:val="250"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p>
            <w:pPr>
              <w:pStyle w:val="Normal"/>
              <w:widowControl w:val="false"/>
              <w:spacing w:lineRule="auto" w:line="240" w:before="0" w:after="0"/>
              <w:jc w:val="both"/>
              <w:rPr>
                <w:b w:val="false"/>
                <w:b w:val="false"/>
                <w:bCs w:val="false"/>
              </w:rPr>
            </w:pPr>
            <w:r>
              <w:rPr>
                <w:b/>
                <w:bCs w:val="false"/>
              </w:rPr>
            </w:r>
          </w:p>
        </w:tc>
      </w:tr>
      <w:tr>
        <w:trPr>
          <w:trHeight w:val="253"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left"/>
              <w:outlineLvl w:val="0"/>
              <w:rPr>
                <w:b/>
                <w:b/>
                <w:bCs/>
              </w:rPr>
            </w:pPr>
            <w:r>
              <w:rPr>
                <w:rFonts w:eastAsia="Times New Roman" w:cs="Times New Roman" w:ascii="Times New Roman" w:hAnsi="Times New Roman"/>
                <w:b/>
                <w:bCs/>
                <w:color w:val="000000" w:themeColor="text1"/>
                <w:kern w:val="0"/>
                <w:sz w:val="28"/>
                <w:szCs w:val="28"/>
                <w:lang w:val="uk-UA" w:eastAsia="ru-RU" w:bidi="ar-SA"/>
              </w:rPr>
              <w:t>114,8 м куб</w:t>
            </w:r>
          </w:p>
          <w:p>
            <w:pPr>
              <w:pStyle w:val="Normal"/>
              <w:widowControl w:val="false"/>
              <w:spacing w:lineRule="auto" w:line="240" w:before="0" w:after="0"/>
              <w:jc w:val="both"/>
              <w:rPr>
                <w:b w:val="false"/>
                <w:b w:val="false"/>
                <w:bCs w:val="false"/>
              </w:rPr>
            </w:pPr>
            <w:r>
              <w:rPr>
                <w:b/>
                <w:bCs w:val="false"/>
              </w:rPr>
            </w:r>
          </w:p>
        </w:tc>
      </w:tr>
      <w:tr>
        <w:trPr>
          <w:trHeight w:val="86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rPr>
            </w:pPr>
            <w:r>
              <w:rPr>
                <w:rFonts w:eastAsia="Times New Roman" w:cs="Times New Roman" w:ascii="Times New Roman" w:hAnsi="Times New Roman"/>
                <w:b/>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bCs w:val="false"/>
                <w:color w:val="000000"/>
                <w:spacing w:val="-10"/>
                <w:kern w:val="0"/>
                <w:sz w:val="24"/>
                <w:szCs w:val="24"/>
                <w:lang w:val="uk-UA" w:eastAsia="en-US" w:bidi="ar-SA"/>
              </w:rPr>
              <w:t>смт. Окни, вул. Шкільна, 6;</w:t>
            </w:r>
          </w:p>
          <w:p>
            <w:pPr>
              <w:pStyle w:val="Normal"/>
              <w:widowControl w:val="false"/>
              <w:numPr>
                <w:ilvl w:val="0"/>
                <w:numId w:val="0"/>
              </w:numPr>
              <w:suppressAutoHyphens w:val="true"/>
              <w:spacing w:lineRule="auto" w:line="240" w:before="0" w:after="0"/>
              <w:ind w:left="0" w:hanging="0"/>
              <w:jc w:val="left"/>
              <w:outlineLvl w:val="2"/>
              <w:rPr>
                <w:b w:val="false"/>
                <w:b w:val="false"/>
                <w:bCs w:val="false"/>
              </w:rPr>
            </w:pPr>
            <w:r>
              <w:rPr>
                <w:rFonts w:eastAsia="Times New Roman" w:cs="Times New Roman" w:ascii="Times New Roman" w:hAnsi="Times New Roman"/>
                <w:b/>
                <w:bCs w:val="false"/>
                <w:color w:val="000000"/>
                <w:spacing w:val="-10"/>
                <w:kern w:val="0"/>
                <w:sz w:val="24"/>
                <w:szCs w:val="24"/>
                <w:lang w:val="uk-UA" w:eastAsia="en-US" w:bidi="ar-SA"/>
              </w:rPr>
              <w:t>66302 Одеська обл., селище</w:t>
            </w:r>
            <w:r>
              <w:rPr>
                <w:rFonts w:eastAsia="Calibri" w:cs="Times New Roman" w:ascii="Times New Roman" w:hAnsi="Times New Roman"/>
                <w:b/>
                <w:bCs w:val="false"/>
                <w:color w:val="000000"/>
                <w:spacing w:val="-10"/>
                <w:kern w:val="0"/>
                <w:sz w:val="24"/>
                <w:szCs w:val="24"/>
                <w:lang w:val="uk-UA" w:eastAsia="en-US" w:bidi="ar-SA"/>
              </w:rPr>
              <w:t xml:space="preserve"> Саврань, вул. Горького, 2</w:t>
            </w:r>
          </w:p>
        </w:tc>
      </w:tr>
      <w:tr>
        <w:trPr>
          <w:trHeight w:val="124"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325 930,00 грн.  </w:t>
            </w:r>
            <w:r>
              <w:rPr>
                <w:rFonts w:eastAsia="Times New Roman" w:cs="Times New Roman" w:ascii="Times New Roman" w:hAnsi="Times New Roman"/>
                <w:b/>
                <w:bCs w:val="false"/>
                <w:color w:val="000000"/>
                <w:kern w:val="0"/>
                <w:sz w:val="24"/>
                <w:szCs w:val="24"/>
                <w:lang w:val="uk-UA" w:eastAsia="uk-UA" w:bidi="ar-SA"/>
              </w:rPr>
              <w:t>з ПДВ</w:t>
            </w:r>
          </w:p>
        </w:tc>
      </w:tr>
      <w:tr>
        <w:trPr>
          <w:trHeight w:val="64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30.05.2024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val="false"/>
                <w:kern w:val="0"/>
                <w:sz w:val="24"/>
                <w:szCs w:val="24"/>
                <w:lang w:val="uk-UA" w:eastAsia="uk-UA" w:bidi="ar-SA"/>
              </w:rPr>
              <w:t>сом (УЕП)</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6"/>
              <w:widowControl w:val="false"/>
              <w:rPr>
                <w:b w:val="false"/>
                <w:b w:val="false"/>
                <w:bCs w:val="false"/>
              </w:rPr>
            </w:pPr>
            <w:bookmarkStart w:id="5" w:name="n616"/>
            <w:bookmarkEnd w:id="5"/>
            <w:r>
              <w:rPr>
                <w:b/>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6"/>
              <w:widowControl w:val="false"/>
              <w:rPr>
                <w:b w:val="false"/>
                <w:b w:val="false"/>
                <w:bCs w:val="false"/>
              </w:rPr>
            </w:pPr>
            <w:bookmarkStart w:id="6" w:name="n617"/>
            <w:bookmarkEnd w:id="6"/>
            <w:r>
              <w:rPr>
                <w:b/>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6"/>
              <w:widowControl w:val="false"/>
              <w:rPr>
                <w:b w:val="false"/>
                <w:b w:val="false"/>
                <w:bCs w:val="false"/>
              </w:rPr>
            </w:pPr>
            <w:bookmarkStart w:id="7" w:name="n618"/>
            <w:bookmarkEnd w:id="7"/>
            <w:r>
              <w:rPr>
                <w:b/>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6"/>
              <w:widowControl w:val="false"/>
              <w:rPr>
                <w:b w:val="false"/>
                <w:b w:val="false"/>
                <w:bCs w:val="false"/>
              </w:rPr>
            </w:pPr>
            <w:bookmarkStart w:id="8" w:name="n619"/>
            <w:bookmarkEnd w:id="8"/>
            <w:r>
              <w:rPr>
                <w:b/>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b/>
                </w:rPr>
                <w:t>пунктом</w:t>
              </w:r>
            </w:hyperlink>
            <w:hyperlink r:id="rId3">
              <w:r>
                <w:rPr>
                  <w:b/>
                </w:rPr>
                <w:t xml:space="preserve"> 4</w:t>
              </w:r>
            </w:hyperlink>
            <w:r>
              <w:rPr>
                <w:b/>
              </w:rPr>
              <w:t xml:space="preserve"> частини другої статті 6, </w:t>
            </w:r>
            <w:hyperlink r:id="rId4">
              <w:r>
                <w:rPr>
                  <w:b/>
                </w:rPr>
                <w:t>пунктом 1</w:t>
              </w:r>
            </w:hyperlink>
            <w:r>
              <w:rPr>
                <w:b/>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6"/>
              <w:widowControl w:val="false"/>
              <w:rPr>
                <w:b w:val="false"/>
                <w:b w:val="false"/>
                <w:bCs w:val="false"/>
              </w:rPr>
            </w:pPr>
            <w:bookmarkStart w:id="9" w:name="n620"/>
            <w:bookmarkEnd w:id="9"/>
            <w:r>
              <w:rPr>
                <w:b/>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6"/>
              <w:widowControl w:val="false"/>
              <w:rPr>
                <w:b w:val="false"/>
                <w:b w:val="false"/>
                <w:bCs w:val="false"/>
              </w:rPr>
            </w:pPr>
            <w:bookmarkStart w:id="10" w:name="n621"/>
            <w:bookmarkEnd w:id="10"/>
            <w:r>
              <w:rPr>
                <w:b/>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6"/>
              <w:widowControl w:val="false"/>
              <w:rPr>
                <w:b w:val="false"/>
                <w:b w:val="false"/>
                <w:bCs w:val="false"/>
              </w:rPr>
            </w:pPr>
            <w:bookmarkStart w:id="11" w:name="n622"/>
            <w:bookmarkEnd w:id="11"/>
            <w:r>
              <w:rPr>
                <w:b/>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6"/>
              <w:widowControl w:val="false"/>
              <w:rPr>
                <w:b w:val="false"/>
                <w:b w:val="false"/>
                <w:bCs w:val="false"/>
              </w:rPr>
            </w:pPr>
            <w:bookmarkStart w:id="12" w:name="n623"/>
            <w:bookmarkEnd w:id="12"/>
            <w:r>
              <w:rPr>
                <w:b/>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6"/>
              <w:widowControl w:val="false"/>
              <w:rPr>
                <w:b w:val="false"/>
                <w:b w:val="false"/>
                <w:bCs w:val="false"/>
              </w:rPr>
            </w:pPr>
            <w:bookmarkStart w:id="13" w:name="n624"/>
            <w:bookmarkEnd w:id="13"/>
            <w:r>
              <w:rPr>
                <w:b/>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
              <w:r>
                <w:rPr>
                  <w:b/>
                </w:rPr>
                <w:t>пунктом 9</w:t>
              </w:r>
            </w:hyperlink>
            <w:r>
              <w:rPr>
                <w:b/>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6"/>
              <w:widowControl w:val="false"/>
              <w:rPr>
                <w:b w:val="false"/>
                <w:b w:val="false"/>
                <w:bCs w:val="false"/>
              </w:rPr>
            </w:pPr>
            <w:bookmarkStart w:id="14" w:name="n625"/>
            <w:bookmarkEnd w:id="14"/>
            <w:r>
              <w:rPr>
                <w:b/>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6"/>
              <w:widowControl w:val="false"/>
              <w:rPr>
                <w:b w:val="false"/>
                <w:b w:val="false"/>
                <w:bCs w:val="false"/>
              </w:rPr>
            </w:pPr>
            <w:bookmarkStart w:id="15" w:name="n626"/>
            <w:bookmarkEnd w:id="15"/>
            <w:r>
              <w:rPr>
                <w:b/>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b/>
                </w:rPr>
                <w:t>Законом України</w:t>
              </w:r>
            </w:hyperlink>
            <w:r>
              <w:rPr>
                <w:b/>
              </w:rPr>
              <w:t xml:space="preserve"> “Про санкції”, крім випадку, коли активи такої особи в установленому законодавством порядку передані в управління АРМА;</w:t>
            </w:r>
          </w:p>
          <w:p>
            <w:pPr>
              <w:pStyle w:val="Style26"/>
              <w:widowControl w:val="false"/>
              <w:rPr>
                <w:b w:val="false"/>
                <w:b w:val="false"/>
                <w:bCs w:val="false"/>
              </w:rPr>
            </w:pPr>
            <w:bookmarkStart w:id="16" w:name="n743"/>
            <w:bookmarkEnd w:id="16"/>
            <w:r>
              <w:rPr>
                <w:rStyle w:val="Style15"/>
                <w:b/>
              </w:rPr>
              <w:t xml:space="preserve">{Підпункт 11 пункту 47 із змінами, внесеними згідно з Постановою КМ </w:t>
            </w:r>
            <w:hyperlink r:id="rId7">
              <w:r>
                <w:rPr>
                  <w:b/>
                  <w:i/>
                  <w:iCs/>
                </w:rPr>
                <w:t>№ 952 від 01.09.2023</w:t>
              </w:r>
            </w:hyperlink>
            <w:r>
              <w:rPr>
                <w:rStyle w:val="Style15"/>
                <w:b/>
              </w:rPr>
              <w:t>}</w:t>
            </w:r>
          </w:p>
          <w:p>
            <w:pPr>
              <w:pStyle w:val="Style26"/>
              <w:widowControl w:val="false"/>
              <w:rPr>
                <w:b w:val="false"/>
                <w:b w:val="false"/>
                <w:bCs w:val="false"/>
              </w:rPr>
            </w:pPr>
            <w:bookmarkStart w:id="17" w:name="n627"/>
            <w:bookmarkEnd w:id="17"/>
            <w:r>
              <w:rPr>
                <w:b/>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Кінцевий строк подання тендерних пропозицій до 13.11.2023 року</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постанови Кабінету Міністрів України «Про забезпечення захист</w:t>
            </w:r>
            <w:r>
              <w:rPr>
                <w:rFonts w:eastAsia="Times New Roman" w:cs="Times New Roman" w:ascii="Times New Roman" w:hAnsi="Times New Roman"/>
                <w:b/>
                <w:bCs w:val="false"/>
                <w:color w:val="111111"/>
                <w:kern w:val="0"/>
                <w:sz w:val="24"/>
                <w:szCs w:val="24"/>
                <w:lang w:val="uk-UA" w:eastAsia="uk-UA" w:bidi="ar-SA"/>
              </w:rPr>
              <w:t>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pPr>
            <w:r>
              <w:rPr>
                <w:rFonts w:eastAsia="Times New Roman" w:cs="Times New Roman" w:ascii="Times New Roman" w:hAnsi="Times New Roman"/>
                <w:b/>
                <w:bCs w:val="false"/>
                <w:color w:val="111111"/>
                <w:kern w:val="0"/>
                <w:sz w:val="24"/>
                <w:szCs w:val="24"/>
                <w:lang w:val="uk-UA" w:eastAsia="uk-UA" w:bidi="ar-SA"/>
              </w:rPr>
              <w:t>- </w:t>
            </w:r>
            <w:hyperlink r:id="rId8" w:tgtFrame="_blank">
              <w:bookmarkStart w:id="18" w:name="504"/>
              <w:bookmarkEnd w:id="18"/>
              <w:r>
                <w:rPr>
                  <w:rFonts w:eastAsia="Times New Roman" w:cs="Times New Roman" w:ascii="Times New Roman" w:hAnsi="Times New Roman"/>
                  <w:b/>
                  <w:bCs w:val="false"/>
                  <w:color w:val="1C1C1C"/>
                  <w:kern w:val="0"/>
                  <w:sz w:val="24"/>
                  <w:szCs w:val="24"/>
                  <w:lang w:val="uk-UA" w:eastAsia="uk-UA" w:bidi="ar-SA"/>
                </w:rPr>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pPr>
              <w:pStyle w:val="Style26"/>
              <w:widowControl w:val="false"/>
              <w:rPr/>
            </w:pPr>
            <w:hyperlink r:id="rId9" w:tgtFrame="_blank">
              <w:bookmarkStart w:id="19" w:name="505"/>
              <w:bookmarkEnd w:id="19"/>
              <w:r>
                <w:rPr>
                  <w:rFonts w:ascii="Times New Roman" w:hAnsi="Times New Roman"/>
                  <w:b/>
                  <w:color w:val="1C1C1C"/>
                  <w:sz w:val="24"/>
                  <w:szCs w:val="24"/>
                </w:rPr>
                <w:t>(абзац другий пункту 2 у редакції постанови</w:t>
                <w:br/>
                <w:t> Кабінету Міністрів України від 12.05.2023 р. N 471)</w:t>
              </w:r>
            </w:hyperlink>
          </w:p>
          <w:p>
            <w:pPr>
              <w:pStyle w:val="Style26"/>
              <w:widowControl w:val="false"/>
              <w:rPr/>
            </w:pPr>
            <w:bookmarkStart w:id="20" w:name="387"/>
            <w:bookmarkEnd w:id="20"/>
            <w:r>
              <w:rPr>
                <w:rFonts w:ascii="Times New Roman" w:hAnsi="Times New Roman"/>
                <w:b/>
                <w:color w:val="1C1C1C"/>
                <w:sz w:val="24"/>
                <w:szCs w:val="24"/>
              </w:rPr>
              <w:t xml:space="preserve">- </w:t>
            </w:r>
            <w:hyperlink r:id="rId10" w:tgtFrame="_blank">
              <w:r>
                <w:rPr>
                  <w:rFonts w:ascii="Times New Roman" w:hAnsi="Times New Roman"/>
                  <w:b/>
                  <w:color w:val="111111"/>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pPr>
              <w:pStyle w:val="Style26"/>
              <w:widowControl w:val="false"/>
              <w:spacing w:before="0" w:after="120"/>
              <w:rPr>
                <w:rFonts w:ascii="Times New Roman" w:hAnsi="Times New Roman" w:eastAsia="Times New Roman" w:cs="Times New Roman"/>
                <w:b w:val="false"/>
                <w:b w:val="false"/>
                <w:bCs w:val="false"/>
                <w:kern w:val="0"/>
                <w:sz w:val="24"/>
                <w:szCs w:val="24"/>
                <w:lang w:val="uk-UA" w:eastAsia="uk-UA" w:bidi="ar-SA"/>
              </w:rPr>
            </w:pPr>
            <w:r>
              <w:rPr>
                <w:rFonts w:eastAsia="Times New Roman" w:cs="Times New Roman" w:ascii="Times New Roman" w:hAnsi="Times New Roman"/>
                <w:b/>
                <w:bCs w:val="false"/>
                <w:kern w:val="0"/>
                <w:sz w:val="24"/>
                <w:szCs w:val="24"/>
                <w:lang w:val="uk-UA" w:eastAsia="uk-UA" w:bidi="ar-SA"/>
              </w:rPr>
            </w:r>
          </w:p>
        </w:tc>
      </w:tr>
      <w:tr>
        <w:trPr>
          <w:trHeight w:val="1696"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w:t>
            </w:r>
          </w:p>
          <w:p>
            <w:pPr>
              <w:pStyle w:val="Style26"/>
              <w:widowControl w:val="false"/>
              <w:rPr>
                <w:b w:val="false"/>
                <w:b w:val="false"/>
                <w:bCs w:val="false"/>
              </w:rPr>
            </w:pPr>
            <w:bookmarkStart w:id="21" w:name="n593"/>
            <w:bookmarkEnd w:id="21"/>
            <w:r>
              <w:rPr>
                <w:b/>
              </w:rPr>
              <w:t xml:space="preserve">підпадає під підстави, встановлені </w:t>
            </w:r>
            <w:r>
              <w:fldChar w:fldCharType="begin"/>
            </w:r>
            <w:r>
              <w:rPr>
                <w:b/>
              </w:rPr>
              <w:instrText xml:space="preserve"> HYPERLINK "https://zakon.rada.gov.ua/laws/show/1178-2022-п" \l "n615"</w:instrText>
            </w:r>
            <w:r>
              <w:rPr>
                <w:b/>
              </w:rPr>
              <w:fldChar w:fldCharType="separate"/>
            </w:r>
            <w:r>
              <w:rPr>
                <w:b/>
              </w:rPr>
              <w:t>пунктом 47</w:t>
            </w:r>
            <w:r>
              <w:rPr>
                <w:b/>
              </w:rPr>
              <w:fldChar w:fldCharType="end"/>
            </w:r>
            <w:r>
              <w:rPr>
                <w:b/>
              </w:rPr>
              <w:t xml:space="preserve"> цих особливостей;</w:t>
            </w:r>
          </w:p>
          <w:p>
            <w:pPr>
              <w:pStyle w:val="Style26"/>
              <w:widowControl w:val="false"/>
              <w:rPr>
                <w:b w:val="false"/>
                <w:b w:val="false"/>
                <w:bCs w:val="false"/>
              </w:rPr>
            </w:pPr>
            <w:bookmarkStart w:id="22" w:name="n594"/>
            <w:bookmarkEnd w:id="22"/>
            <w:r>
              <w:rPr>
                <w:b/>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особливостей;</w:t>
            </w:r>
          </w:p>
          <w:p>
            <w:pPr>
              <w:pStyle w:val="Style26"/>
              <w:widowControl w:val="false"/>
              <w:rPr>
                <w:b w:val="false"/>
                <w:b w:val="false"/>
                <w:bCs w:val="false"/>
              </w:rPr>
            </w:pPr>
            <w:bookmarkStart w:id="23" w:name="n595"/>
            <w:bookmarkEnd w:id="23"/>
            <w:r>
              <w:rPr>
                <w:b/>
              </w:rPr>
              <w:t>не надав забезпечення тендерної пропозиції, якщо таке забезпечення вимагалося замовником;</w:t>
            </w:r>
          </w:p>
          <w:p>
            <w:pPr>
              <w:pStyle w:val="Style26"/>
              <w:widowControl w:val="false"/>
              <w:rPr>
                <w:b w:val="false"/>
                <w:b w:val="false"/>
                <w:bCs w:val="false"/>
              </w:rPr>
            </w:pPr>
            <w:bookmarkStart w:id="24" w:name="n596"/>
            <w:bookmarkEnd w:id="24"/>
            <w:r>
              <w:rPr>
                <w:b/>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6"/>
              <w:widowControl w:val="false"/>
              <w:rPr>
                <w:b w:val="false"/>
                <w:b w:val="false"/>
                <w:bCs w:val="false"/>
              </w:rPr>
            </w:pPr>
            <w:bookmarkStart w:id="25" w:name="n597"/>
            <w:bookmarkEnd w:id="25"/>
            <w:r>
              <w:rPr>
                <w:b/>
              </w:rPr>
              <w:t xml:space="preserve">не надав обґрунтування аномально низької ціни тендерної пропозиції протягом строку, визначеного </w:t>
            </w:r>
            <w:hyperlink r:id="rId11">
              <w:r>
                <w:rPr>
                  <w:b/>
                </w:rPr>
                <w:t>абзацом першим</w:t>
              </w:r>
            </w:hyperlink>
            <w:r>
              <w:rPr>
                <w:b/>
              </w:rPr>
              <w:t xml:space="preserve"> частини чотирнадцятої статті 29 Закону/</w:t>
            </w:r>
            <w:r>
              <w:fldChar w:fldCharType="begin"/>
            </w:r>
            <w:r>
              <w:rPr>
                <w:b/>
              </w:rPr>
              <w:instrText xml:space="preserve"> HYPERLINK "https://zakon.rada.gov.ua/laws/show/1178-2022-п" \l "n581"</w:instrText>
            </w:r>
            <w:r>
              <w:rPr>
                <w:b/>
              </w:rPr>
              <w:fldChar w:fldCharType="separate"/>
            </w:r>
            <w:r>
              <w:rPr>
                <w:b/>
              </w:rPr>
              <w:t>абзацом дев’ятим</w:t>
            </w:r>
            <w:r>
              <w:rPr>
                <w:b/>
              </w:rPr>
              <w:fldChar w:fldCharType="end"/>
            </w:r>
            <w:r>
              <w:rPr>
                <w:b/>
              </w:rPr>
              <w:t xml:space="preserve"> пункту 37 цих особливостей;</w:t>
            </w:r>
          </w:p>
          <w:p>
            <w:pPr>
              <w:pStyle w:val="Style26"/>
              <w:widowControl w:val="false"/>
              <w:rPr>
                <w:b w:val="false"/>
                <w:b w:val="false"/>
                <w:bCs w:val="false"/>
              </w:rPr>
            </w:pPr>
            <w:bookmarkStart w:id="26" w:name="n598"/>
            <w:bookmarkEnd w:id="26"/>
            <w:r>
              <w:rPr>
                <w:b/>
              </w:rPr>
              <w:t xml:space="preserve">визначив конфіденційною інформацію, що не може бути визначена як конфіденційна відповідно до вимог </w:t>
            </w:r>
            <w:r>
              <w:fldChar w:fldCharType="begin"/>
            </w:r>
            <w:r>
              <w:rPr>
                <w:b/>
              </w:rPr>
              <w:instrText xml:space="preserve"> HYPERLINK "https://zakon.rada.gov.ua/laws/show/1178-2022-п" \l "n584"</w:instrText>
            </w:r>
            <w:r>
              <w:rPr>
                <w:b/>
              </w:rPr>
              <w:fldChar w:fldCharType="separate"/>
            </w:r>
            <w:r>
              <w:rPr>
                <w:b/>
              </w:rPr>
              <w:t>пункту 40</w:t>
            </w:r>
            <w:r>
              <w:rPr>
                <w:b/>
              </w:rPr>
              <w:fldChar w:fldCharType="end"/>
            </w:r>
            <w:r>
              <w:rPr>
                <w:b/>
              </w:rPr>
              <w:t xml:space="preserve"> цих особливостей;</w:t>
            </w:r>
          </w:p>
          <w:p>
            <w:pPr>
              <w:pStyle w:val="Style26"/>
              <w:widowControl w:val="false"/>
              <w:rPr>
                <w:b w:val="false"/>
                <w:b w:val="false"/>
                <w:bCs w:val="false"/>
              </w:rPr>
            </w:pPr>
            <w:bookmarkStart w:id="27" w:name="n599"/>
            <w:bookmarkEnd w:id="27"/>
            <w:r>
              <w:rPr>
                <w:b/>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6"/>
              <w:widowControl w:val="false"/>
              <w:rPr>
                <w:b w:val="false"/>
                <w:b w:val="false"/>
                <w:bCs w:val="false"/>
              </w:rPr>
            </w:pPr>
            <w:bookmarkStart w:id="28" w:name="n600"/>
            <w:bookmarkEnd w:id="28"/>
            <w:r>
              <w:rPr>
                <w:b/>
              </w:rPr>
              <w:t>2) тендерна пропозиція:</w:t>
            </w:r>
          </w:p>
          <w:p>
            <w:pPr>
              <w:pStyle w:val="Style26"/>
              <w:widowControl w:val="false"/>
              <w:rPr>
                <w:b w:val="false"/>
                <w:b w:val="false"/>
                <w:bCs w:val="false"/>
              </w:rPr>
            </w:pPr>
            <w:bookmarkStart w:id="29" w:name="n601"/>
            <w:bookmarkEnd w:id="29"/>
            <w:r>
              <w:rPr>
                <w:b/>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b/>
              </w:rPr>
              <w:instrText xml:space="preserve"> HYPERLINK "https://zakon.rada.gov.ua/laws/show/1178-2022-п" \l "n588"</w:instrText>
            </w:r>
            <w:r>
              <w:rPr>
                <w:b/>
              </w:rPr>
              <w:fldChar w:fldCharType="separate"/>
            </w:r>
            <w:r>
              <w:rPr>
                <w:b/>
              </w:rPr>
              <w:t>пункту 43</w:t>
            </w:r>
            <w:r>
              <w:rPr>
                <w:b/>
              </w:rPr>
              <w:fldChar w:fldCharType="end"/>
            </w:r>
            <w:r>
              <w:rPr>
                <w:b/>
              </w:rPr>
              <w:t xml:space="preserve"> цих особливостей;</w:t>
            </w:r>
          </w:p>
          <w:p>
            <w:pPr>
              <w:pStyle w:val="Style26"/>
              <w:widowControl w:val="false"/>
              <w:rPr>
                <w:b w:val="false"/>
                <w:b w:val="false"/>
                <w:bCs w:val="false"/>
              </w:rPr>
            </w:pPr>
            <w:bookmarkStart w:id="30" w:name="n602"/>
            <w:bookmarkEnd w:id="30"/>
            <w:r>
              <w:rPr>
                <w:b/>
              </w:rPr>
              <w:t>є такою, строк дії якої закінчився;</w:t>
            </w:r>
          </w:p>
          <w:p>
            <w:pPr>
              <w:pStyle w:val="Style26"/>
              <w:widowControl w:val="false"/>
              <w:rPr>
                <w:b w:val="false"/>
                <w:b w:val="false"/>
                <w:bCs w:val="false"/>
              </w:rPr>
            </w:pPr>
            <w:bookmarkStart w:id="31" w:name="n603"/>
            <w:bookmarkEnd w:id="31"/>
            <w:r>
              <w:rPr>
                <w:b/>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6"/>
              <w:widowControl w:val="false"/>
              <w:rPr>
                <w:b w:val="false"/>
                <w:b w:val="false"/>
                <w:bCs w:val="false"/>
              </w:rPr>
            </w:pPr>
            <w:bookmarkStart w:id="32" w:name="n604"/>
            <w:bookmarkEnd w:id="32"/>
            <w:r>
              <w:rPr>
                <w:b/>
              </w:rPr>
              <w:t xml:space="preserve">не відповідає вимогам, установленим у тендерній документації відповідно до </w:t>
            </w:r>
            <w:hyperlink r:id="rId12">
              <w:r>
                <w:rPr>
                  <w:b/>
                </w:rPr>
                <w:t>абзацу першого</w:t>
              </w:r>
            </w:hyperlink>
            <w:r>
              <w:rPr>
                <w:b/>
              </w:rPr>
              <w:t xml:space="preserve"> частини третьої статті 22 Закону;</w:t>
            </w:r>
          </w:p>
          <w:p>
            <w:pPr>
              <w:pStyle w:val="Style26"/>
              <w:widowControl w:val="false"/>
              <w:rPr>
                <w:b w:val="false"/>
                <w:b w:val="false"/>
                <w:bCs w:val="false"/>
              </w:rPr>
            </w:pPr>
            <w:bookmarkStart w:id="33" w:name="n605"/>
            <w:bookmarkEnd w:id="33"/>
            <w:r>
              <w:rPr>
                <w:b/>
              </w:rPr>
              <w:t>3) переможець процедури закупівлі:</w:t>
            </w:r>
          </w:p>
          <w:p>
            <w:pPr>
              <w:pStyle w:val="Style26"/>
              <w:widowControl w:val="false"/>
              <w:rPr>
                <w:b w:val="false"/>
                <w:b w:val="false"/>
                <w:bCs w:val="false"/>
              </w:rPr>
            </w:pPr>
            <w:bookmarkStart w:id="34" w:name="n606"/>
            <w:bookmarkEnd w:id="34"/>
            <w:r>
              <w:rPr>
                <w:b/>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6"/>
              <w:widowControl w:val="false"/>
              <w:rPr>
                <w:b w:val="false"/>
                <w:b w:val="false"/>
                <w:bCs w:val="false"/>
              </w:rPr>
            </w:pPr>
            <w:bookmarkStart w:id="35" w:name="n607"/>
            <w:bookmarkEnd w:id="35"/>
            <w:r>
              <w:rPr>
                <w:b/>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b/>
              </w:rPr>
              <w:instrText xml:space="preserve"> HYPERLINK "https://zakon.rada.gov.ua/laws/show/1178-2022-п" \l "n618"</w:instrText>
            </w:r>
            <w:r>
              <w:rPr>
                <w:b/>
              </w:rPr>
              <w:fldChar w:fldCharType="separate"/>
            </w:r>
            <w:r>
              <w:rPr>
                <w:b/>
              </w:rPr>
              <w:t>підпунктах 3</w:t>
            </w:r>
            <w:r>
              <w:rPr>
                <w:b/>
              </w:rPr>
              <w:fldChar w:fldCharType="end"/>
            </w:r>
            <w:r>
              <w:rPr>
                <w:b/>
              </w:rPr>
              <w:t xml:space="preserve">, </w:t>
            </w:r>
            <w:r>
              <w:fldChar w:fldCharType="begin"/>
            </w:r>
            <w:r>
              <w:rPr>
                <w:b/>
              </w:rPr>
              <w:instrText xml:space="preserve"> HYPERLINK "https://zakon.rada.gov.ua/laws/show/1178-2022-п" \l "n620"</w:instrText>
            </w:r>
            <w:r>
              <w:rPr>
                <w:b/>
              </w:rPr>
              <w:fldChar w:fldCharType="separate"/>
            </w:r>
            <w:r>
              <w:rPr>
                <w:b/>
              </w:rPr>
              <w:t>5</w:t>
            </w:r>
            <w:r>
              <w:rPr>
                <w:b/>
              </w:rPr>
              <w:fldChar w:fldCharType="end"/>
            </w:r>
            <w:r>
              <w:rPr>
                <w:b/>
              </w:rPr>
              <w:t xml:space="preserve">, </w:t>
            </w:r>
            <w:r>
              <w:fldChar w:fldCharType="begin"/>
            </w:r>
            <w:r>
              <w:rPr>
                <w:b/>
              </w:rPr>
              <w:instrText xml:space="preserve"> HYPERLINK "https://zakon.rada.gov.ua/laws/show/1178-2022-п" \l "n621"</w:instrText>
            </w:r>
            <w:r>
              <w:rPr>
                <w:b/>
              </w:rPr>
              <w:fldChar w:fldCharType="separate"/>
            </w:r>
            <w:r>
              <w:rPr>
                <w:b/>
              </w:rPr>
              <w:t>6</w:t>
            </w:r>
            <w:r>
              <w:rPr>
                <w:b/>
              </w:rPr>
              <w:fldChar w:fldCharType="end"/>
            </w:r>
            <w:r>
              <w:rPr>
                <w:b/>
              </w:rPr>
              <w:t xml:space="preserve"> і </w:t>
            </w:r>
            <w:r>
              <w:fldChar w:fldCharType="begin"/>
            </w:r>
            <w:r>
              <w:rPr>
                <w:b/>
              </w:rPr>
              <w:instrText xml:space="preserve"> HYPERLINK "https://zakon.rada.gov.ua/laws/show/1178-2022-п" \l "n627"</w:instrText>
            </w:r>
            <w:r>
              <w:rPr>
                <w:b/>
              </w:rPr>
              <w:fldChar w:fldCharType="separate"/>
            </w:r>
            <w:r>
              <w:rPr>
                <w:b/>
              </w:rPr>
              <w:t>12</w:t>
            </w:r>
            <w:r>
              <w:rPr>
                <w:b/>
              </w:rPr>
              <w:fldChar w:fldCharType="end"/>
            </w:r>
            <w:r>
              <w:rPr>
                <w:b/>
              </w:rPr>
              <w:t xml:space="preserve"> та в </w:t>
            </w:r>
            <w:r>
              <w:fldChar w:fldCharType="begin"/>
            </w:r>
            <w:r>
              <w:rPr>
                <w:b/>
              </w:rPr>
              <w:instrText xml:space="preserve"> HYPERLINK "https://zakon.rada.gov.ua/laws/show/1178-2022-п" \l "n628"</w:instrText>
            </w:r>
            <w:r>
              <w:rPr>
                <w:b/>
              </w:rPr>
              <w:fldChar w:fldCharType="separate"/>
            </w:r>
            <w:r>
              <w:rPr>
                <w:b/>
              </w:rPr>
              <w:t>абзаці чотирнадцятому</w:t>
            </w:r>
            <w:r>
              <w:rPr>
                <w:b/>
              </w:rPr>
              <w:fldChar w:fldCharType="end"/>
            </w:r>
            <w:r>
              <w:rPr>
                <w:b/>
              </w:rPr>
              <w:t xml:space="preserve"> пункту 47 цих особливостей;</w:t>
            </w:r>
          </w:p>
          <w:p>
            <w:pPr>
              <w:pStyle w:val="Style26"/>
              <w:widowControl w:val="false"/>
              <w:rPr>
                <w:b w:val="false"/>
                <w:b w:val="false"/>
                <w:bCs w:val="false"/>
              </w:rPr>
            </w:pPr>
            <w:bookmarkStart w:id="36" w:name="n608"/>
            <w:bookmarkEnd w:id="36"/>
            <w:r>
              <w:rPr>
                <w:b/>
              </w:rPr>
              <w:t>не надав забезпечення виконання договору про закупівлю, якщо таке забезпечення вимагалося замовником;</w:t>
            </w:r>
          </w:p>
          <w:p>
            <w:pPr>
              <w:pStyle w:val="Style26"/>
              <w:widowControl w:val="false"/>
              <w:rPr>
                <w:b w:val="false"/>
                <w:b w:val="false"/>
                <w:bCs w:val="false"/>
              </w:rPr>
            </w:pPr>
            <w:bookmarkStart w:id="37" w:name="n609"/>
            <w:bookmarkEnd w:id="37"/>
            <w:r>
              <w:rPr>
                <w:b/>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особливостей.</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6"/>
              <w:widowControl w:val="false"/>
              <w:rPr>
                <w:b w:val="false"/>
                <w:b w:val="false"/>
                <w:bCs w:val="false"/>
              </w:rPr>
            </w:pPr>
            <w:bookmarkStart w:id="38" w:name="n612"/>
            <w:bookmarkEnd w:id="38"/>
            <w:r>
              <w:rPr>
                <w:b/>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9" w:name="_heading=h.2s8eyo1"/>
      <w:bookmarkStart w:id="40" w:name="_heading=h.2s8eyo1"/>
      <w:bookmarkEnd w:id="40"/>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цього пункту), крім самостійного декларування відсутності таких підстав учасником процедури закупівлі відповідно до абз.16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п.47 Особливостей  (крім пп. 1 і 7,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sz w:val="24"/>
          <w:szCs w:val="24"/>
        </w:rPr>
      </w:pPr>
      <w:r>
        <w:rPr>
          <w:rFonts w:cs="Times New Roman" w:ascii="Times New Roman" w:hAnsi="Times New Roman"/>
          <w:b/>
          <w:sz w:val="24"/>
          <w:szCs w:val="24"/>
        </w:rPr>
        <w:t xml:space="preserve">Технічні, якісні та кількісні характеристики предмета закупівлі </w:t>
      </w:r>
    </w:p>
    <w:p>
      <w:pPr>
        <w:pStyle w:val="Normal"/>
        <w:jc w:val="center"/>
        <w:rPr>
          <w:sz w:val="24"/>
          <w:szCs w:val="24"/>
        </w:rPr>
      </w:pPr>
      <w:r>
        <w:rPr>
          <w:rFonts w:cs="Times New Roman" w:ascii="Times New Roman" w:hAnsi="Times New Roman"/>
          <w:b/>
          <w:sz w:val="24"/>
          <w:szCs w:val="24"/>
        </w:rPr>
        <w:t>(специфікація та вимоги до предмета закупівлі )</w:t>
      </w:r>
    </w:p>
    <w:p>
      <w:pPr>
        <w:pStyle w:val="Normal"/>
        <w:numPr>
          <w:ilvl w:val="0"/>
          <w:numId w:val="0"/>
        </w:numPr>
        <w:spacing w:before="0" w:after="0"/>
        <w:ind w:left="0" w:hanging="0"/>
        <w:jc w:val="center"/>
        <w:outlineLvl w:val="0"/>
        <w:rPr>
          <w:sz w:val="24"/>
          <w:szCs w:val="24"/>
        </w:rPr>
      </w:pPr>
      <w:r>
        <w:rPr>
          <w:rFonts w:ascii="Times New Roman" w:hAnsi="Times New Roman"/>
          <w:b/>
          <w:color w:val="000000" w:themeColor="text1"/>
          <w:sz w:val="24"/>
          <w:szCs w:val="24"/>
          <w:lang w:val="uk-UA"/>
        </w:rPr>
        <w:t>Деревина дров’яна непромислового використання 1-а група</w:t>
      </w:r>
    </w:p>
    <w:p>
      <w:pPr>
        <w:pStyle w:val="Normal"/>
        <w:jc w:val="center"/>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(ДК 021:2015 (CPV): 03410000-7–Деревина)</w:t>
      </w:r>
    </w:p>
    <w:tbl>
      <w:tblPr>
        <w:tblStyle w:val="a7"/>
        <w:tblW w:w="9855" w:type="dxa"/>
        <w:jc w:val="left"/>
        <w:tblInd w:w="0" w:type="dxa"/>
        <w:tblLayout w:type="fixed"/>
        <w:tblCellMar>
          <w:top w:w="0" w:type="dxa"/>
          <w:left w:w="108" w:type="dxa"/>
          <w:bottom w:w="0" w:type="dxa"/>
          <w:right w:w="108" w:type="dxa"/>
        </w:tblCellMar>
        <w:tblLook w:val="04a0"/>
      </w:tblPr>
      <w:tblGrid>
        <w:gridCol w:w="675"/>
        <w:gridCol w:w="2409"/>
        <w:gridCol w:w="1559"/>
        <w:gridCol w:w="5211"/>
      </w:tblGrid>
      <w:tr>
        <w:trPr/>
        <w:tc>
          <w:tcPr>
            <w:tcW w:w="675" w:type="dxa"/>
            <w:tcBorders/>
          </w:tcPr>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N</w:t>
            </w:r>
          </w:p>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п/п</w:t>
            </w:r>
          </w:p>
        </w:tc>
        <w:tc>
          <w:tcPr>
            <w:tcW w:w="2409" w:type="dxa"/>
            <w:tcBorders/>
          </w:tcPr>
          <w:p>
            <w:pPr>
              <w:pStyle w:val="Normal"/>
              <w:widowControl w:val="false"/>
              <w:spacing w:lineRule="auto" w:line="240" w:before="0" w:after="0"/>
              <w:jc w:val="both"/>
              <w:rPr>
                <w:kern w:val="0"/>
                <w:sz w:val="24"/>
                <w:szCs w:val="24"/>
                <w:lang w:bidi="ar-SA"/>
              </w:rPr>
            </w:pP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 xml:space="preserve">Назва </w:t>
            </w: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товару</w:t>
            </w:r>
          </w:p>
        </w:tc>
        <w:tc>
          <w:tcPr>
            <w:tcW w:w="1559"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Кількість</w:t>
            </w:r>
          </w:p>
        </w:tc>
        <w:tc>
          <w:tcPr>
            <w:tcW w:w="5211" w:type="dxa"/>
            <w:tcBorders/>
          </w:tcPr>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Характеристики</w:t>
            </w:r>
          </w:p>
        </w:tc>
      </w:tr>
      <w:tr>
        <w:trPr/>
        <w:tc>
          <w:tcPr>
            <w:tcW w:w="675"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en-US" w:bidi="ar-SA"/>
              </w:rPr>
              <w:t>1</w:t>
            </w:r>
          </w:p>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2409" w:type="dxa"/>
            <w:tcBorders/>
          </w:tcPr>
          <w:p>
            <w:pPr>
              <w:pStyle w:val="Normal"/>
              <w:widowControl w:val="false"/>
              <w:numPr>
                <w:ilvl w:val="0"/>
                <w:numId w:val="0"/>
              </w:numPr>
              <w:spacing w:lineRule="auto" w:line="240" w:before="0" w:after="0"/>
              <w:ind w:left="0" w:hanging="0"/>
              <w:jc w:val="both"/>
              <w:outlineLvl w:val="0"/>
              <w:rPr>
                <w:rFonts w:cs=""/>
                <w:kern w:val="0"/>
                <w:sz w:val="24"/>
                <w:szCs w:val="24"/>
                <w:lang w:val="uk-UA" w:bidi="ar-SA"/>
              </w:rPr>
            </w:pPr>
            <w:r>
              <w:rPr>
                <w:rFonts w:cs="" w:ascii="Times New Roman" w:hAnsi="Times New Roman"/>
                <w:color w:val="000000" w:themeColor="text1"/>
                <w:kern w:val="0"/>
                <w:sz w:val="24"/>
                <w:szCs w:val="24"/>
                <w:lang w:val="uk-UA" w:bidi="ar-SA"/>
              </w:rPr>
              <w:t>Деревина дров’яна непромислового використання 1-а група</w:t>
            </w:r>
          </w:p>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1559"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uk-UA" w:bidi="ar-SA"/>
              </w:rPr>
              <w:t>114,8</w:t>
            </w: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м куб</w:t>
            </w:r>
          </w:p>
        </w:tc>
        <w:tc>
          <w:tcPr>
            <w:tcW w:w="5211" w:type="dxa"/>
            <w:tcBorders/>
          </w:tcPr>
          <w:p>
            <w:pPr>
              <w:pStyle w:val="Normal"/>
              <w:widowControl w:val="false"/>
              <w:numPr>
                <w:ilvl w:val="0"/>
                <w:numId w:val="0"/>
              </w:numPr>
              <w:spacing w:lineRule="auto" w:line="240" w:before="0" w:after="0"/>
              <w:ind w:left="0" w:hanging="0"/>
              <w:jc w:val="both"/>
              <w:outlineLvl w:val="0"/>
              <w:rPr>
                <w:kern w:val="0"/>
                <w:sz w:val="24"/>
                <w:szCs w:val="24"/>
                <w:lang w:val="uk-UA" w:bidi="ar-SA"/>
              </w:rPr>
            </w:pPr>
            <w:r>
              <w:rPr>
                <w:rFonts w:cs="Times New Roman" w:ascii="Times New Roman" w:hAnsi="Times New Roman"/>
                <w:kern w:val="0"/>
                <w:sz w:val="24"/>
                <w:szCs w:val="24"/>
                <w:lang w:val="uk-UA" w:bidi="ar-SA"/>
              </w:rPr>
              <w:t xml:space="preserve">Деревина дров’яна </w:t>
            </w:r>
            <w:r>
              <w:rPr>
                <w:rFonts w:ascii="Times New Roman" w:hAnsi="Times New Roman"/>
                <w:color w:val="000000" w:themeColor="text1"/>
                <w:kern w:val="0"/>
                <w:sz w:val="24"/>
                <w:szCs w:val="24"/>
                <w:lang w:val="uk-UA" w:bidi="ar-SA"/>
              </w:rPr>
              <w:t>непромислового використання 1-а група (</w:t>
            </w:r>
            <w:r>
              <w:rPr>
                <w:rFonts w:cs="Times New Roman" w:ascii="Times New Roman" w:hAnsi="Times New Roman"/>
                <w:kern w:val="0"/>
                <w:sz w:val="24"/>
                <w:szCs w:val="24"/>
                <w:lang w:val="uk-UA" w:bidi="ar-SA"/>
              </w:rPr>
              <w:t>твердих порід), вологість не більше 20%, як в корі так і без неї, очищені від сучків.</w:t>
            </w:r>
          </w:p>
          <w:p>
            <w:pPr>
              <w:pStyle w:val="Normal"/>
              <w:widowControl w:val="false"/>
              <w:numPr>
                <w:ilvl w:val="0"/>
                <w:numId w:val="0"/>
              </w:numPr>
              <w:spacing w:lineRule="auto" w:line="240" w:before="0" w:after="0"/>
              <w:ind w:left="0" w:hanging="0"/>
              <w:jc w:val="both"/>
              <w:outlineLvl w:val="0"/>
              <w:rPr>
                <w:kern w:val="0"/>
                <w:sz w:val="24"/>
                <w:szCs w:val="24"/>
                <w:lang w:val="uk-UA" w:bidi="ar-SA"/>
              </w:rPr>
            </w:pPr>
            <w:r>
              <w:rPr>
                <w:rFonts w:cs="Times New Roman" w:ascii="Times New Roman" w:hAnsi="Times New Roman"/>
                <w:kern w:val="0"/>
                <w:sz w:val="24"/>
                <w:szCs w:val="24"/>
                <w:lang w:val="uk-UA" w:bidi="ar-SA"/>
              </w:rPr>
              <w:t>Повинні бути без гнилі, трухляви та сторонніх матеріалів, довжиною 1 м.</w:t>
            </w:r>
          </w:p>
        </w:tc>
      </w:tr>
      <w:tr>
        <w:trPr/>
        <w:tc>
          <w:tcPr>
            <w:tcW w:w="675"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2409"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1559"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5211"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r>
    </w:tbl>
    <w:p>
      <w:pPr>
        <w:pStyle w:val="Normal"/>
        <w:rPr>
          <w:rFonts w:ascii="Arial" w:hAnsi="Arial" w:cs="Arial"/>
          <w:sz w:val="24"/>
          <w:szCs w:val="24"/>
        </w:rPr>
      </w:pPr>
      <w:r>
        <w:rPr>
          <w:rFonts w:cs="Arial" w:ascii="Arial" w:hAnsi="Arial"/>
          <w:sz w:val="24"/>
          <w:szCs w:val="24"/>
        </w:rPr>
      </w:r>
    </w:p>
    <w:p>
      <w:pPr>
        <w:pStyle w:val="Normal"/>
        <w:rPr>
          <w:sz w:val="24"/>
          <w:szCs w:val="24"/>
        </w:rPr>
      </w:pPr>
      <w:r>
        <w:rPr>
          <w:rFonts w:cs="Times New Roman" w:ascii="Times New Roman" w:hAnsi="Times New Roman"/>
          <w:b/>
          <w:sz w:val="24"/>
          <w:szCs w:val="24"/>
        </w:rPr>
        <w:t>1. ВИМОГИ ДО ЯКОСТІ ПРОДУКЦІЇ</w:t>
      </w:r>
    </w:p>
    <w:p>
      <w:pPr>
        <w:pStyle w:val="Normal"/>
        <w:spacing w:before="0" w:after="0"/>
        <w:ind w:firstLine="567"/>
        <w:jc w:val="both"/>
        <w:rPr>
          <w:sz w:val="24"/>
          <w:szCs w:val="24"/>
        </w:rPr>
      </w:pPr>
      <w:r>
        <w:rPr>
          <w:rFonts w:cs="Times New Roman" w:ascii="Times New Roman" w:hAnsi="Times New Roman"/>
          <w:sz w:val="24"/>
          <w:szCs w:val="24"/>
        </w:rPr>
        <w:t xml:space="preserve">Поставка товару (транспортні витрати) здійснюється за рахунок переможця процедури закупівлі. </w:t>
      </w:r>
      <w:r>
        <w:rPr>
          <w:rFonts w:cs="Times New Roman" w:ascii="Times New Roman" w:hAnsi="Times New Roman"/>
          <w:sz w:val="24"/>
          <w:szCs w:val="24"/>
          <w:lang w:val="uk-UA"/>
        </w:rPr>
        <w:t xml:space="preserve">Навантаження </w:t>
      </w:r>
      <w:r>
        <w:rPr>
          <w:rFonts w:cs="Times New Roman" w:ascii="Times New Roman" w:hAnsi="Times New Roman"/>
          <w:sz w:val="24"/>
          <w:szCs w:val="24"/>
        </w:rPr>
        <w:t>товару на автотранспорт та його обмірювання  здійснюється учасником за власний рахунок та за бажанням замовника – в присутності його представника.При поставці дрова паливні обов’язково повинні супроводжуватись  документом, що підтверджує  якість товару.</w:t>
      </w:r>
      <w:r>
        <w:rPr>
          <w:rFonts w:cs="Times New Roman" w:ascii="Times New Roman" w:hAnsi="Times New Roman"/>
          <w:bCs/>
          <w:sz w:val="24"/>
          <w:szCs w:val="24"/>
        </w:rPr>
        <w:tab/>
      </w:r>
    </w:p>
    <w:p>
      <w:pPr>
        <w:pStyle w:val="Normal"/>
        <w:spacing w:before="0" w:after="0"/>
        <w:ind w:firstLine="567"/>
        <w:jc w:val="both"/>
        <w:rPr>
          <w:sz w:val="24"/>
          <w:szCs w:val="24"/>
        </w:rPr>
      </w:pPr>
      <w:r>
        <w:rPr>
          <w:rFonts w:cs="Times New Roman" w:ascii="Times New Roman" w:hAnsi="Times New Roman"/>
          <w:sz w:val="24"/>
          <w:szCs w:val="24"/>
        </w:rPr>
        <w:t>Цінова пропозиція надається з урахуванням вартості</w:t>
      </w:r>
      <w:r>
        <w:rPr>
          <w:rFonts w:cs="Times New Roman" w:ascii="Times New Roman" w:hAnsi="Times New Roman"/>
          <w:sz w:val="24"/>
          <w:szCs w:val="24"/>
          <w:lang w:val="uk-UA"/>
        </w:rPr>
        <w:t xml:space="preserve">, </w:t>
      </w:r>
      <w:r>
        <w:rPr>
          <w:rFonts w:cs="Times New Roman" w:ascii="Times New Roman" w:hAnsi="Times New Roman"/>
          <w:sz w:val="24"/>
          <w:szCs w:val="24"/>
        </w:rPr>
        <w:t>доставки до місця призначення та включають навантаження, обмірювання</w:t>
      </w:r>
      <w:r>
        <w:rPr>
          <w:rFonts w:cs="Times New Roman" w:ascii="Times New Roman" w:hAnsi="Times New Roman"/>
          <w:sz w:val="24"/>
          <w:szCs w:val="24"/>
          <w:lang w:val="uk-UA"/>
        </w:rPr>
        <w:t xml:space="preserve">.. </w:t>
      </w:r>
      <w:r>
        <w:rPr>
          <w:rFonts w:cs="Times New Roman" w:ascii="Times New Roman" w:hAnsi="Times New Roman"/>
          <w:bCs/>
          <w:sz w:val="24"/>
          <w:szCs w:val="24"/>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pPr>
        <w:pStyle w:val="Normal"/>
        <w:spacing w:before="0" w:after="0"/>
        <w:ind w:firstLine="567"/>
        <w:jc w:val="both"/>
        <w:rPr>
          <w:highlight w:val="none"/>
          <w:shd w:fill="FFBF00" w:val="clear"/>
        </w:rPr>
      </w:pPr>
      <w:r>
        <w:rPr>
          <w:rFonts w:eastAsia="Arial" w:cs="Times New Roman" w:ascii="Times New Roman" w:hAnsi="Times New Roman"/>
          <w:color w:val="000000"/>
          <w:sz w:val="24"/>
          <w:szCs w:val="24"/>
          <w:shd w:fill="FFBF00" w:val="clear"/>
        </w:rPr>
        <w:t>Я</w:t>
      </w:r>
      <w:r>
        <w:rPr>
          <w:rFonts w:cs="Times New Roman" w:ascii="Times New Roman" w:hAnsi="Times New Roman"/>
          <w:sz w:val="24"/>
          <w:szCs w:val="24"/>
          <w:shd w:fill="FFBF00" w:val="clear"/>
        </w:rPr>
        <w:t>кість товару повинна відповідати ТУУ</w:t>
      </w:r>
      <w:r>
        <w:rPr>
          <w:rFonts w:cs="Times New Roman" w:ascii="Times New Roman" w:hAnsi="Times New Roman"/>
          <w:sz w:val="24"/>
          <w:szCs w:val="24"/>
          <w:shd w:fill="FFBF00" w:val="clear"/>
        </w:rPr>
        <w:t>00994207-005:2018</w:t>
      </w:r>
      <w:r>
        <w:rPr>
          <w:rFonts w:cs="Times New Roman" w:ascii="Times New Roman" w:hAnsi="Times New Roman"/>
          <w:sz w:val="24"/>
          <w:szCs w:val="24"/>
          <w:shd w:fill="FFBF00" w:val="clear"/>
        </w:rPr>
        <w:t xml:space="preserve"> та іншим вимогам передбачених даною документацією.</w:t>
      </w:r>
    </w:p>
    <w:p>
      <w:pPr>
        <w:pStyle w:val="Normal"/>
        <w:spacing w:before="20" w:after="20"/>
        <w:ind w:left="-10" w:firstLine="549"/>
        <w:jc w:val="both"/>
        <w:rPr>
          <w:sz w:val="24"/>
          <w:szCs w:val="24"/>
        </w:rPr>
      </w:pPr>
      <w:r>
        <w:rPr>
          <w:rFonts w:ascii="Times New Roman" w:hAnsi="Times New Roman"/>
          <w:color w:val="000000"/>
          <w:sz w:val="24"/>
          <w:szCs w:val="24"/>
        </w:rPr>
        <w:t xml:space="preserve"> </w:t>
      </w:r>
      <w:r>
        <w:rPr>
          <w:rFonts w:ascii="Times New Roman" w:hAnsi="Times New Roman"/>
          <w:color w:val="000000"/>
          <w:sz w:val="24"/>
          <w:szCs w:val="24"/>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pPr>
        <w:pStyle w:val="Normal"/>
        <w:jc w:val="both"/>
        <w:rPr/>
      </w:pPr>
      <w:r>
        <w:rPr>
          <w:rFonts w:ascii="Times New Roman" w:hAnsi="Times New Roman"/>
          <w:bCs/>
          <w:sz w:val="24"/>
          <w:szCs w:val="24"/>
        </w:rPr>
        <w:t xml:space="preserve">           </w:t>
      </w:r>
      <w:r>
        <w:rPr>
          <w:rFonts w:ascii="Times New Roman" w:hAnsi="Times New Roman"/>
          <w:bCs/>
          <w:sz w:val="24"/>
          <w:szCs w:val="24"/>
        </w:rPr>
        <w:t>Місце поставки:</w:t>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10419"/>
      </w:tblGrid>
      <w:tr>
        <w:trPr>
          <w:trHeight w:val="869" w:hRule="atLeast"/>
        </w:trPr>
        <w:tc>
          <w:tcPr>
            <w:tcW w:w="10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смт. Окни, вул. Шкільна, 6;</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 </w:t>
            </w: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м. Саврань, вул. Горького, 2</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b/>
                <w:sz w:val="24"/>
                <w:szCs w:val="24"/>
              </w:rPr>
            </w:r>
          </w:p>
        </w:tc>
      </w:tr>
    </w:tbl>
    <w:p>
      <w:pPr>
        <w:pStyle w:val="Normal"/>
        <w:spacing w:lineRule="auto" w:line="240" w:before="0" w:after="0"/>
        <w:ind w:firstLine="567"/>
        <w:jc w:val="both"/>
        <w:rPr>
          <w:rFonts w:ascii="Times New Roman" w:hAnsi="Times New Roman" w:cs="Times New Roman"/>
          <w:sz w:val="24"/>
          <w:szCs w:val="24"/>
          <w:lang w:eastAsia="en-US"/>
        </w:rPr>
      </w:pPr>
      <w:r>
        <w:rPr>
          <w:rFonts w:cs="Times New Roman" w:ascii="Times New Roman" w:hAnsi="Times New Roman"/>
          <w:bCs/>
          <w:sz w:val="24"/>
          <w:szCs w:val="24"/>
          <w:u w:val="single"/>
          <w:lang w:eastAsia="en-US"/>
        </w:rPr>
        <w:t>Поставка товару здійснюється в робочі дні з 9:00 год. до 18:00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30.05.2024 року.</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Pr>
      <w:tblGrid>
        <w:gridCol w:w="4926"/>
        <w:gridCol w:w="5498"/>
      </w:tblGrid>
      <w:tr>
        <w:trPr/>
        <w:tc>
          <w:tcPr>
            <w:tcW w:w="4926" w:type="dxa"/>
            <w:tcBorders/>
          </w:tcPr>
          <w:p>
            <w:pPr>
              <w:pStyle w:val="Normal"/>
              <w:widowControl w:val="false"/>
              <w:spacing w:before="0" w:after="160"/>
              <w:rPr>
                <w:rFonts w:ascii="Times New Roman" w:hAnsi="Times New Roman" w:cs="Calibri"/>
                <w:sz w:val="24"/>
                <w:szCs w:val="24"/>
                <w:lang w:val="uk-UA"/>
              </w:rPr>
            </w:pPr>
            <w:r>
              <w:rPr>
                <w:rFonts w:cs="Calibri" w:ascii="Times New Roman" w:hAnsi="Times New Roman"/>
                <w:sz w:val="24"/>
                <w:szCs w:val="24"/>
                <w:lang w:val="uk-UA"/>
              </w:rPr>
              <w:t>м. Подільськ</w:t>
            </w:r>
          </w:p>
        </w:tc>
        <w:tc>
          <w:tcPr>
            <w:tcW w:w="5498" w:type="dxa"/>
            <w:tcBorders/>
          </w:tcPr>
          <w:p>
            <w:pPr>
              <w:pStyle w:val="Normal"/>
              <w:widowControl w:val="false"/>
              <w:spacing w:before="0" w:after="160"/>
              <w:jc w:val="right"/>
              <w:rPr>
                <w:rFonts w:ascii="Times New Roman" w:hAnsi="Times New Roman"/>
              </w:rPr>
            </w:pPr>
            <w:r>
              <w:rPr>
                <w:rFonts w:ascii="Times New Roman" w:hAnsi="Times New Roman"/>
                <w:sz w:val="24"/>
                <w:szCs w:val="24"/>
                <w:lang w:val="uk-UA"/>
              </w:rPr>
              <w:t xml:space="preserve">                       </w:t>
            </w:r>
            <w:r>
              <w:rPr>
                <w:rFonts w:ascii="Times New Roman" w:hAnsi="Times New Roman"/>
                <w:sz w:val="24"/>
                <w:szCs w:val="24"/>
                <w:lang w:val="uk-UA"/>
              </w:rPr>
              <w:t>"___" _____2024 року</w:t>
            </w:r>
          </w:p>
        </w:tc>
      </w:tr>
    </w:tbl>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ab/>
        <w:t xml:space="preserve">                                                                    </w:t>
      </w:r>
    </w:p>
    <w:p>
      <w:pPr>
        <w:pStyle w:val="Normal"/>
        <w:suppressAutoHyphens w:val="true"/>
        <w:overflowPunct w:val="false"/>
        <w:jc w:val="both"/>
        <w:textAlignment w:val="auto"/>
        <w:rPr/>
      </w:pPr>
      <w:r>
        <w:rPr>
          <w:rFonts w:eastAsia="Calibri" w:ascii="Times New Roman" w:hAnsi="Times New Roman"/>
          <w:b/>
          <w:sz w:val="24"/>
          <w:szCs w:val="24"/>
          <w:lang w:val="uk-UA" w:eastAsia="uk-UA"/>
        </w:rPr>
        <w:t>4 ДЕРЖАНИЙ ПОЖЕЖНО-РЯТУВАЛЬНИЙ ЗАГІН ГОЛОВНОГО УПРАВЛІННЯ ДЕРЖАВНОЇ СЛУЖБИ УКРАЇНИ З НАДЗВИЧАЙНИХ СИТУАЦІЙ В ОДЕСЬКІЙ ОБЛАСТІ</w:t>
      </w:r>
      <w:r>
        <w:rPr>
          <w:rFonts w:eastAsia="Calibri" w:ascii="Times New Roman" w:hAnsi="Times New Roman"/>
          <w:sz w:val="24"/>
          <w:szCs w:val="24"/>
          <w:lang w:val="uk-UA" w:eastAsia="uk-UA"/>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uk-UA"/>
        </w:rPr>
        <w:t xml:space="preserve">з одного боку  та  </w:t>
      </w:r>
      <w:r>
        <w:rPr>
          <w:rFonts w:eastAsia="Calibri" w:ascii="Times New Roman" w:hAnsi="Times New Roman"/>
          <w:b/>
          <w:sz w:val="24"/>
          <w:szCs w:val="24"/>
          <w:lang w:val="uk-UA" w:eastAsia="uk-UA"/>
        </w:rPr>
        <w:t>__________</w:t>
      </w:r>
      <w:r>
        <w:rPr>
          <w:rFonts w:eastAsia="Calibri" w:ascii="Times New Roman" w:hAnsi="Times New Roman"/>
          <w:sz w:val="24"/>
          <w:szCs w:val="24"/>
          <w:lang w:val="uk-UA" w:eastAsia="uk-UA"/>
        </w:rPr>
        <w:t xml:space="preserve">, </w:t>
      </w:r>
      <w:r>
        <w:rPr>
          <w:rFonts w:eastAsia="Calibri" w:ascii="Times New Roman" w:hAnsi="Times New Roman"/>
          <w:bCs/>
          <w:sz w:val="24"/>
          <w:szCs w:val="24"/>
          <w:lang w:val="uk-UA" w:eastAsia="uk-UA"/>
        </w:rPr>
        <w:t>в особі ___________________, що діє на підставі ______</w:t>
      </w:r>
      <w:r>
        <w:rPr>
          <w:rFonts w:eastAsia="Calibri" w:ascii="Times New Roman" w:hAnsi="Times New Roman"/>
          <w:sz w:val="24"/>
          <w:szCs w:val="24"/>
          <w:lang w:val="uk-UA" w:eastAsia="de-DE"/>
        </w:rPr>
        <w:t xml:space="preserve"> </w:t>
      </w:r>
      <w:r>
        <w:rPr>
          <w:rFonts w:eastAsia="Calibri" w:ascii="Times New Roman" w:hAnsi="Times New Roman"/>
          <w:sz w:val="24"/>
          <w:szCs w:val="24"/>
          <w:lang w:val="uk-UA" w:eastAsia="uk-UA"/>
        </w:rPr>
        <w:t>(у подальшому іменований "Постачальник"),</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de-DE"/>
        </w:rPr>
        <w:t>з іншого боку,</w:t>
      </w:r>
      <w:r>
        <w:rPr>
          <w:rFonts w:eastAsia="Calibri" w:ascii="Times New Roman" w:hAnsi="Times New Roman"/>
          <w:sz w:val="24"/>
          <w:szCs w:val="24"/>
          <w:lang w:val="uk-UA" w:eastAsia="uk-UA"/>
        </w:rPr>
        <w:t xml:space="preserve"> уклали цей Договір про наступне:</w:t>
      </w:r>
    </w:p>
    <w:p>
      <w:pPr>
        <w:pStyle w:val="Normal"/>
        <w:numPr>
          <w:ilvl w:val="0"/>
          <w:numId w:val="1"/>
        </w:numPr>
        <w:tabs>
          <w:tab w:val="clear" w:pos="720"/>
          <w:tab w:val="left" w:pos="228" w:leader="none"/>
        </w:tabs>
        <w:suppressAutoHyphens w:val="true"/>
        <w:overflowPunct w:val="false"/>
        <w:ind w:left="0" w:right="0" w:hanging="0"/>
        <w:jc w:val="center"/>
        <w:textAlignment w:val="auto"/>
        <w:rPr>
          <w:rFonts w:ascii="Times New Roman" w:hAnsi="Times New Roman"/>
        </w:rPr>
      </w:pPr>
      <w:r>
        <w:rPr>
          <w:rFonts w:cs="Times New Roman" w:ascii="Times New Roman" w:hAnsi="Times New Roman"/>
          <w:b/>
          <w:sz w:val="24"/>
          <w:szCs w:val="24"/>
          <w:lang w:val="uk-UA"/>
        </w:rPr>
        <w:t xml:space="preserve"> </w:t>
      </w:r>
      <w:r>
        <w:rPr>
          <w:rFonts w:cs="Calibri" w:ascii="Times New Roman" w:hAnsi="Times New Roman"/>
          <w:b/>
          <w:sz w:val="24"/>
          <w:szCs w:val="24"/>
          <w:lang w:val="uk-UA"/>
        </w:rPr>
        <w:t>ПРЕДМЕТ ДОГОВОРУ</w:t>
      </w:r>
    </w:p>
    <w:p>
      <w:pPr>
        <w:pStyle w:val="Normal"/>
        <w:suppressAutoHyphens w:val="true"/>
        <w:overflowPunct w:val="false"/>
        <w:jc w:val="both"/>
        <w:textAlignment w:val="auto"/>
        <w:rPr>
          <w:rFonts w:ascii="Times New Roman" w:hAnsi="Times New Roman"/>
        </w:rPr>
      </w:pPr>
      <w:r>
        <w:rPr>
          <w:rFonts w:cs="Calibri" w:ascii="Times New Roman" w:hAnsi="Times New Roman"/>
          <w:sz w:val="24"/>
          <w:szCs w:val="24"/>
          <w:lang w:val="uk-UA"/>
        </w:rPr>
        <w:t xml:space="preserve">1.1. Постачальник зобов'язується поставляти Покупцю товар, а Покупець - приймати і оплачувати такий товар, згідно ДК 021:2015 код </w:t>
      </w:r>
      <w:r>
        <w:rPr>
          <w:rFonts w:cs="Calibri" w:ascii="Times New Roman" w:hAnsi="Times New Roman"/>
          <w:color w:val="000000"/>
          <w:sz w:val="24"/>
          <w:szCs w:val="24"/>
          <w:lang w:val="uk-UA"/>
        </w:rPr>
        <w:t xml:space="preserve">, </w:t>
      </w:r>
      <w:r>
        <w:rPr>
          <w:rFonts w:cs="Calibri" w:ascii="Times New Roman" w:hAnsi="Times New Roman"/>
          <w:sz w:val="24"/>
          <w:szCs w:val="24"/>
          <w:lang w:val="uk-UA"/>
        </w:rPr>
        <w:t>відповідно до СПЕЦИФІКАЦІЇ – додатку № 1 до цього Договору.</w:t>
      </w:r>
    </w:p>
    <w:p>
      <w:pPr>
        <w:pStyle w:val="Normal"/>
        <w:tabs>
          <w:tab w:val="clear" w:pos="720"/>
          <w:tab w:val="left" w:pos="284" w:leader="none"/>
        </w:tabs>
        <w:suppressAutoHyphens w:val="true"/>
        <w:overflowPunct w:val="fals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1.2. Обсяги закупівлі — 114,8 м.куб.</w:t>
      </w:r>
    </w:p>
    <w:p>
      <w:pPr>
        <w:pStyle w:val="Normal"/>
        <w:tabs>
          <w:tab w:val="clear" w:pos="720"/>
          <w:tab w:val="left" w:pos="284" w:leader="none"/>
        </w:tabs>
        <w:suppressAutoHyphens w:val="true"/>
        <w:overflowPunct w:val="fals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2. ЯКІСТЬ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2.4. Постачальник гарантує якість товару, що поставляється Покупцю за цим Договором. </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Строк поставки товару: до 30.05.2024 року.</w:t>
      </w:r>
    </w:p>
    <w:p>
      <w:pPr>
        <w:pStyle w:val="Normal"/>
        <w:suppressAutoHyphens w:val="true"/>
        <w:overflowPunct w:val="false"/>
        <w:spacing w:before="0" w:after="60"/>
        <w:jc w:val="both"/>
        <w:textAlignment w:val="auto"/>
        <w:rPr>
          <w:rFonts w:ascii="Times New Roman" w:hAnsi="Times New Roman"/>
        </w:rPr>
      </w:pPr>
      <w:r>
        <w:rPr>
          <w:rFonts w:ascii="Times New Roman" w:hAnsi="Times New Roman"/>
        </w:rPr>
        <w:t xml:space="preserve">5.2. Місце поставки: </w:t>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10419"/>
      </w:tblGrid>
      <w:tr>
        <w:trPr>
          <w:trHeight w:val="869" w:hRule="atLeast"/>
        </w:trPr>
        <w:tc>
          <w:tcPr>
            <w:tcW w:w="10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смт. Окни, вул. Шкільна, 6;</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bCs w:val="false"/>
                <w:color w:val="000000"/>
                <w:spacing w:val="-10"/>
                <w:kern w:val="0"/>
                <w:sz w:val="24"/>
                <w:szCs w:val="24"/>
                <w:lang w:val="uk-UA" w:eastAsia="en-US" w:bidi="ar-SA"/>
              </w:rPr>
              <w:t xml:space="preserve"> </w:t>
            </w:r>
            <w:r>
              <w:rPr>
                <w:rFonts w:eastAsia="Times New Roman" w:cs="Times New Roman" w:ascii="Times New Roman" w:hAnsi="Times New Roman"/>
                <w:b/>
                <w:bCs w:val="false"/>
                <w:color w:val="000000"/>
                <w:spacing w:val="-10"/>
                <w:kern w:val="0"/>
                <w:sz w:val="24"/>
                <w:szCs w:val="24"/>
                <w:lang w:val="uk-UA" w:eastAsia="en-US" w:bidi="ar-SA"/>
              </w:rPr>
              <w:t xml:space="preserve">Одеська обл., </w:t>
            </w:r>
            <w:r>
              <w:rPr>
                <w:rFonts w:eastAsia="Calibri" w:cs="Times New Roman" w:ascii="Times New Roman" w:hAnsi="Times New Roman"/>
                <w:b/>
                <w:bCs w:val="false"/>
                <w:color w:val="000000"/>
                <w:spacing w:val="-10"/>
                <w:kern w:val="0"/>
                <w:sz w:val="24"/>
                <w:szCs w:val="24"/>
                <w:lang w:val="uk-UA" w:eastAsia="en-US" w:bidi="ar-SA"/>
              </w:rPr>
              <w:t>м. Саврань, вул. Горького, 2</w:t>
            </w:r>
          </w:p>
        </w:tc>
      </w:tr>
    </w:tbl>
    <w:p>
      <w:pPr>
        <w:pStyle w:val="Normal"/>
        <w:suppressAutoHyphens w:val="true"/>
        <w:overflowPunct w:val="false"/>
        <w:spacing w:before="60" w:after="0"/>
        <w:jc w:val="both"/>
        <w:textAlignment w:val="auto"/>
        <w:rPr>
          <w:rFonts w:ascii="Times New Roman" w:hAnsi="Times New Roman" w:cs="Calibri"/>
          <w:sz w:val="24"/>
          <w:szCs w:val="24"/>
          <w:lang w:val="uk-UA"/>
        </w:rPr>
      </w:pPr>
      <w:r>
        <w:rPr>
          <w:rFonts w:cs="Calibri" w:ascii="Times New Roman" w:hAnsi="Times New Roman"/>
          <w:sz w:val="24"/>
          <w:szCs w:val="24"/>
          <w:lang w:val="uk-UA"/>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5.4. При прийманні товару за кількістю і якістю сторони керуються нормами чинного законодавства.</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5.5. У разі виявлення:</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pPr>
        <w:pStyle w:val="Normal"/>
        <w:suppressAutoHyphens w:val="true"/>
        <w:overflowPunct w:val="fals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uppressAutoHyphens w:val="true"/>
        <w:overflowPunct w:val="false"/>
        <w:jc w:val="both"/>
        <w:textAlignment w:val="auto"/>
        <w:rPr>
          <w:rFonts w:ascii="Times New Roman" w:hAnsi="Times New Roman"/>
        </w:rPr>
      </w:pPr>
      <w:r>
        <w:rPr>
          <w:rFonts w:cs="Calibri" w:ascii="Times New Roman" w:hAnsi="Times New Roman"/>
          <w:sz w:val="24"/>
          <w:szCs w:val="24"/>
          <w:lang w:val="uk-UA" w:eastAsia="ar-SA"/>
        </w:rPr>
        <w:t xml:space="preserve">5.7. </w:t>
      </w:r>
      <w:r>
        <w:rPr>
          <w:rFonts w:cs="Calibri"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suppressAutoHyphens w:val="true"/>
        <w:overflowPunct w:val="false"/>
        <w:jc w:val="center"/>
        <w:textAlignment w:val="auto"/>
        <w:rPr>
          <w:rFonts w:ascii="Times New Roman" w:hAnsi="Times New Roman" w:eastAsia="Calibri" w:cs="Arial"/>
          <w:b/>
          <w:b/>
          <w:color w:val="000000"/>
          <w:sz w:val="24"/>
          <w:szCs w:val="24"/>
          <w:lang w:val="uk-UA"/>
        </w:rPr>
      </w:pPr>
      <w:r>
        <w:rPr>
          <w:rFonts w:eastAsia="Calibri" w:cs="Arial" w:ascii="Times New Roman" w:hAnsi="Times New Roman"/>
          <w:b/>
          <w:color w:val="000000"/>
          <w:sz w:val="24"/>
          <w:szCs w:val="24"/>
          <w:lang w:val="uk-UA"/>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sz w:val="24"/>
          <w:szCs w:val="24"/>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cs="Calibri"/>
          <w:sz w:val="24"/>
          <w:szCs w:val="24"/>
          <w:lang w:val="uk-UA"/>
        </w:rPr>
      </w:pPr>
      <w:r>
        <w:rPr>
          <w:rFonts w:cs="Calibri" w:ascii="Times New Roman" w:hAnsi="Times New Roman"/>
          <w:b/>
          <w:sz w:val="24"/>
          <w:szCs w:val="24"/>
          <w:lang w:val="uk-UA"/>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9. ВИРІШЕННЯ СПОРІВ</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9.2. У разі недосягнення Сторонами згоди, спори (розбіжності) вирішуються в судовому порядку.</w:t>
      </w:r>
    </w:p>
    <w:p>
      <w:pPr>
        <w:pStyle w:val="Normal"/>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cs="Calibri"/>
          <w:sz w:val="24"/>
          <w:szCs w:val="24"/>
          <w:lang w:val="uk-UA"/>
        </w:rPr>
      </w:pPr>
      <w:r>
        <w:rPr>
          <w:rFonts w:cs="Calibri" w:ascii="Times New Roman" w:hAnsi="Times New Roman"/>
          <w:sz w:val="24"/>
          <w:szCs w:val="24"/>
          <w:lang w:val="uk-UA"/>
        </w:rPr>
        <w:t>10.1. Цей Договір набирає чинності з моменту підписання і діє до 31.12.2024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11. ІНШІ УМОВИ</w:t>
      </w:r>
    </w:p>
    <w:p>
      <w:pPr>
        <w:pStyle w:val="Normal"/>
        <w:suppressAutoHyphens w:val="true"/>
        <w:overflowPunct w:val="fals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suppressAutoHyphens w:val="true"/>
        <w:overflowPunct w:val="false"/>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11.2. Дія Договору припиняється:</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повним виконанням Сторонами своїх зобов'язань за цим Договором;</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за згодою Сторін;</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коли у зв'язку зі специфікою діяльності Покупця, відпадає потреба у даному товарі; </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у випадку необґрунтованого підвищення цін на товари з боку Постачальника;</w:t>
      </w:r>
    </w:p>
    <w:p>
      <w:pPr>
        <w:pStyle w:val="Normal"/>
        <w:numPr>
          <w:ilvl w:val="0"/>
          <w:numId w:val="2"/>
        </w:numPr>
        <w:suppressAutoHyphens w:val="true"/>
        <w:overflowPunct w:val="fals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suppressAutoHyphens w:val="true"/>
        <w:overflowPunct w:val="fals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12.1. Невід'ємною частиною цього Договору є: Специфікація – Додаток 1 </w:t>
      </w:r>
    </w:p>
    <w:p>
      <w:pPr>
        <w:pStyle w:val="Normal"/>
        <w:suppressAutoHyphens w:val="true"/>
        <w:overflowPunct w:val="false"/>
        <w:spacing w:before="0" w:after="60"/>
        <w:jc w:val="center"/>
        <w:textAlignment w:val="auto"/>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false"/>
              <w:spacing w:before="0" w:after="160"/>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iCs/>
                <w:color w:val="000000"/>
                <w:spacing w:val="-2"/>
                <w:sz w:val="24"/>
                <w:szCs w:val="24"/>
                <w:lang w:val="uk-UA"/>
              </w:rPr>
            </w:pPr>
            <w:r>
              <w:rPr>
                <w:rFonts w:cs="Calibri" w:ascii="Times New Roman" w:hAnsi="Times New Roman"/>
                <w:bCs/>
                <w:iCs/>
                <w:color w:val="000000"/>
                <w:spacing w:val="-2"/>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UA</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fals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cs="Times New Roman"/>
                <w:bCs/>
                <w:lang w:val="uk-UA"/>
              </w:rPr>
            </w:pPr>
            <w:r>
              <w:rPr>
                <w:rFonts w:cs="Times New Roman"/>
                <w:bCs/>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r>
        <w:br w:type="page"/>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 xml:space="preserve">Додаток № 1 </w:t>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до Договору № ______</w:t>
      </w:r>
    </w:p>
    <w:p>
      <w:pPr>
        <w:pStyle w:val="Normal"/>
        <w:numPr>
          <w:ilvl w:val="0"/>
          <w:numId w:val="0"/>
        </w:numPr>
        <w:suppressAutoHyphens w:val="true"/>
        <w:overflowPunct w:val="fals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від "___"_______ 2024 року</w:t>
      </w:r>
    </w:p>
    <w:p>
      <w:pPr>
        <w:pStyle w:val="Normal"/>
        <w:suppressAutoHyphens w:val="true"/>
        <w:overflowPunct w:val="false"/>
        <w:textAlignment w:val="auto"/>
        <w:rPr>
          <w:rFonts w:cs="Calibri"/>
          <w:sz w:val="24"/>
          <w:szCs w:val="24"/>
          <w:lang w:val="uk-UA"/>
        </w:rPr>
      </w:pPr>
      <w:r>
        <w:rPr>
          <w:rFonts w:cs="Calibri"/>
          <w:sz w:val="24"/>
          <w:szCs w:val="24"/>
          <w:lang w:val="uk-UA"/>
        </w:rPr>
      </w:r>
    </w:p>
    <w:p>
      <w:pPr>
        <w:pStyle w:val="Normal"/>
        <w:suppressAutoHyphens w:val="true"/>
        <w:overflowPunct w:val="fals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СПЕЦИФІКАЦІЯ</w:t>
      </w:r>
    </w:p>
    <w:p>
      <w:pPr>
        <w:pStyle w:val="Normal"/>
        <w:tabs>
          <w:tab w:val="clear" w:pos="720"/>
          <w:tab w:val="left" w:pos="2865" w:leader="none"/>
        </w:tabs>
        <w:suppressAutoHyphens w:val="true"/>
        <w:overflowPunct w:val="false"/>
        <w:jc w:val="both"/>
        <w:textAlignment w:val="auto"/>
        <w:rPr>
          <w:rFonts w:ascii="Times New Roman" w:hAnsi="Times New Roman" w:cs="Calibri"/>
          <w:b/>
          <w:b/>
          <w:i/>
          <w:i/>
          <w:sz w:val="24"/>
          <w:szCs w:val="24"/>
          <w:lang w:val="uk-UA"/>
        </w:rPr>
      </w:pPr>
      <w:r>
        <w:rPr>
          <w:rFonts w:cs="Calibri" w:ascii="Times New Roman" w:hAnsi="Times New Roman"/>
          <w:b/>
          <w:i/>
          <w:sz w:val="24"/>
          <w:szCs w:val="24"/>
          <w:lang w:val="uk-UA"/>
        </w:rPr>
      </w:r>
    </w:p>
    <w:tbl>
      <w:tblPr>
        <w:tblW w:w="10180" w:type="dxa"/>
        <w:jc w:val="center"/>
        <w:tblInd w:w="0" w:type="dxa"/>
        <w:tblLayout w:type="fixed"/>
        <w:tblCellMar>
          <w:top w:w="0" w:type="dxa"/>
          <w:left w:w="108" w:type="dxa"/>
          <w:bottom w:w="0" w:type="dxa"/>
          <w:right w:w="108" w:type="dxa"/>
        </w:tblCellMar>
      </w:tblPr>
      <w:tblGrid>
        <w:gridCol w:w="567"/>
        <w:gridCol w:w="3100"/>
        <w:gridCol w:w="1303"/>
        <w:gridCol w:w="1560"/>
        <w:gridCol w:w="1853"/>
        <w:gridCol w:w="1796"/>
      </w:tblGrid>
      <w:tr>
        <w:trPr>
          <w:trHeight w:val="60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w:t>
            </w:r>
            <w:r>
              <w:rPr>
                <w:rFonts w:cs="Times New Roman" w:ascii="Times New Roman" w:hAnsi="Times New Roman"/>
                <w:sz w:val="24"/>
                <w:szCs w:val="24"/>
                <w:lang w:val="uk-UA"/>
              </w:rPr>
              <w:t xml:space="preserve"> </w:t>
            </w:r>
            <w:r>
              <w:rPr>
                <w:rFonts w:cs="Calibri" w:ascii="Times New Roman" w:hAnsi="Times New Roman"/>
                <w:sz w:val="24"/>
                <w:szCs w:val="24"/>
                <w:lang w:val="uk-UA"/>
              </w:rPr>
              <w:t>п/п</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Кількість</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jc w:val="center"/>
              <w:textAlignment w:val="auto"/>
              <w:rPr>
                <w:rFonts w:ascii="Times New Roman" w:hAnsi="Times New Roman" w:cs="Calibri"/>
                <w:sz w:val="24"/>
                <w:szCs w:val="24"/>
                <w:lang w:val="uk-UA"/>
              </w:rPr>
            </w:pPr>
            <w:r>
              <w:rPr>
                <w:rFonts w:cs="Calibri" w:ascii="Times New Roman" w:hAnsi="Times New Roman"/>
                <w:sz w:val="24"/>
                <w:szCs w:val="24"/>
                <w:lang w:val="uk-UA"/>
              </w:rPr>
              <w:t>Ціна за од., грн.,</w:t>
            </w:r>
          </w:p>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jc w:val="center"/>
              <w:textAlignment w:val="auto"/>
              <w:rPr>
                <w:rFonts w:ascii="Times New Roman" w:hAnsi="Times New Roman" w:cs="Calibri"/>
                <w:sz w:val="24"/>
                <w:szCs w:val="24"/>
                <w:lang w:val="uk-UA"/>
              </w:rPr>
            </w:pPr>
            <w:r>
              <w:rPr>
                <w:rFonts w:cs="Calibri" w:ascii="Times New Roman" w:hAnsi="Times New Roman"/>
                <w:sz w:val="24"/>
                <w:szCs w:val="24"/>
                <w:lang w:val="uk-UA"/>
              </w:rPr>
              <w:t>Загальна вартість, грн.,</w:t>
            </w:r>
          </w:p>
          <w:p>
            <w:pPr>
              <w:pStyle w:val="Normal"/>
              <w:widowControl w:val="false"/>
              <w:suppressAutoHyphens w:val="true"/>
              <w:overflowPunct w:val="fals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r>
      <w:tr>
        <w:trPr>
          <w:trHeight w:val="7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1</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cs="Calibri"/>
                <w:sz w:val="24"/>
                <w:szCs w:val="24"/>
                <w:lang w:val="uk-UA"/>
              </w:rPr>
            </w:pPr>
            <w:r>
              <w:rPr>
                <w:rFonts w:cs="Calibri"/>
                <w:sz w:val="24"/>
                <w:szCs w:val="24"/>
                <w:lang w:val="uk-UA"/>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r>
      <w:tr>
        <w:trPr>
          <w:trHeight w:val="269" w:hRule="atLeast"/>
        </w:trPr>
        <w:tc>
          <w:tcPr>
            <w:tcW w:w="838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right"/>
              <w:textAlignment w:val="auto"/>
              <w:rPr>
                <w:rFonts w:cs="Calibri"/>
                <w:sz w:val="24"/>
                <w:szCs w:val="24"/>
                <w:lang w:val="uk-UA"/>
              </w:rPr>
            </w:pPr>
            <w:r>
              <w:rPr>
                <w:rFonts w:cs="Calibri"/>
                <w:sz w:val="24"/>
                <w:szCs w:val="24"/>
                <w:lang w:val="uk-UA"/>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fals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r>
        <w:trPr>
          <w:trHeight w:val="269" w:hRule="atLeast"/>
        </w:trPr>
        <w:tc>
          <w:tcPr>
            <w:tcW w:w="838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false"/>
              <w:spacing w:before="0" w:after="160"/>
              <w:jc w:val="right"/>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fals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bl>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Всього: </w:t>
      </w:r>
    </w:p>
    <w:p>
      <w:pPr>
        <w:pStyle w:val="Normal"/>
        <w:tabs>
          <w:tab w:val="clear" w:pos="720"/>
          <w:tab w:val="left" w:pos="2865" w:leader="none"/>
        </w:tabs>
        <w:suppressAutoHyphens w:val="true"/>
        <w:overflowPunct w:val="fals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false"/>
        <w:jc w:val="both"/>
        <w:textAlignment w:val="auto"/>
        <w:rPr>
          <w:rFonts w:cs="Calibri"/>
          <w:sz w:val="24"/>
          <w:szCs w:val="24"/>
          <w:lang w:val="uk-UA"/>
        </w:rPr>
      </w:pPr>
      <w:r>
        <w:rPr>
          <w:rFonts w:cs="Calibri"/>
          <w:sz w:val="24"/>
          <w:szCs w:val="24"/>
          <w:lang w:val="uk-UA"/>
        </w:rPr>
      </w:r>
    </w:p>
    <w:p>
      <w:pPr>
        <w:pStyle w:val="Normal"/>
        <w:tabs>
          <w:tab w:val="clear" w:pos="720"/>
          <w:tab w:val="left" w:pos="2865" w:leader="none"/>
        </w:tabs>
        <w:suppressAutoHyphens w:val="true"/>
        <w:overflowPunct w:val="false"/>
        <w:jc w:val="both"/>
        <w:textAlignment w:val="auto"/>
        <w:rPr>
          <w:rFonts w:cs="Calibri"/>
          <w:sz w:val="24"/>
          <w:szCs w:val="24"/>
          <w:lang w:val="uk-UA"/>
        </w:rPr>
      </w:pPr>
      <w:r>
        <w:rPr>
          <w:rFonts w:cs="Calibri"/>
          <w:sz w:val="24"/>
          <w:szCs w:val="24"/>
          <w:lang w:val="uk-UA"/>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false"/>
              <w:jc w:val="center"/>
              <w:textAlignment w:val="auto"/>
              <w:rPr>
                <w:rFonts w:cs="Calibri"/>
                <w:iCs/>
                <w:color w:val="000000"/>
                <w:spacing w:val="-2"/>
                <w:sz w:val="24"/>
                <w:szCs w:val="24"/>
                <w:lang w:val="uk-UA"/>
              </w:rPr>
            </w:pPr>
            <w:r>
              <w:rPr>
                <w:rFonts w:cs="Calibri"/>
                <w:iCs/>
                <w:color w:val="000000"/>
                <w:spacing w:val="-2"/>
                <w:sz w:val="24"/>
                <w:szCs w:val="24"/>
                <w:lang w:val="uk-UA"/>
              </w:rPr>
              <w:t>ПОСТАЧАЛЬНИК:</w:t>
            </w:r>
          </w:p>
          <w:p>
            <w:pPr>
              <w:pStyle w:val="Normal"/>
              <w:widowControl w:val="false"/>
              <w:jc w:val="center"/>
              <w:rPr>
                <w:b/>
                <w:b/>
                <w:bCs/>
                <w:sz w:val="24"/>
                <w:szCs w:val="24"/>
                <w:lang w:val="uk-UA"/>
              </w:rPr>
            </w:pPr>
            <w:r>
              <w:rPr>
                <w:b/>
                <w:bCs/>
                <w:sz w:val="24"/>
                <w:szCs w:val="24"/>
                <w:lang w:val="uk-UA"/>
              </w:rPr>
            </w:r>
          </w:p>
          <w:p>
            <w:pPr>
              <w:pStyle w:val="Normal"/>
              <w:widowControl w:val="false"/>
              <w:rPr>
                <w:bCs/>
                <w:iCs/>
                <w:color w:val="000000"/>
                <w:spacing w:val="-2"/>
                <w:sz w:val="24"/>
                <w:szCs w:val="24"/>
                <w:lang w:val="uk-UA"/>
              </w:rPr>
            </w:pPr>
            <w:r>
              <w:rPr>
                <w:bCs/>
                <w:iCs/>
                <w:color w:val="000000"/>
                <w:spacing w:val="-2"/>
                <w:sz w:val="24"/>
                <w:szCs w:val="24"/>
                <w:lang w:val="uk-UA"/>
              </w:rPr>
            </w:r>
          </w:p>
          <w:p>
            <w:pPr>
              <w:pStyle w:val="Normal"/>
              <w:widowControl w:val="false"/>
              <w:rPr>
                <w:sz w:val="24"/>
                <w:szCs w:val="24"/>
                <w:lang w:val="uk-UA"/>
              </w:rPr>
            </w:pPr>
            <w:r>
              <w:rPr>
                <w:sz w:val="24"/>
                <w:szCs w:val="24"/>
                <w:lang w:val="uk-UA"/>
              </w:rPr>
            </w:r>
          </w:p>
          <w:p>
            <w:pPr>
              <w:pStyle w:val="Normal"/>
              <w:widowControl w:val="false"/>
              <w:suppressAutoHyphens w:val="true"/>
              <w:overflowPunct w:val="false"/>
              <w:spacing w:before="0" w:after="160"/>
              <w:textAlignment w:val="auto"/>
              <w:rPr>
                <w:rFonts w:ascii="Calibri" w:hAnsi="Calibri" w:cs="Calibri"/>
                <w:iCs/>
                <w:color w:val="000000"/>
                <w:spacing w:val="-2"/>
                <w:sz w:val="24"/>
                <w:szCs w:val="24"/>
                <w:lang w:val="uk-UA"/>
              </w:rPr>
            </w:pPr>
            <w:r>
              <w:rPr>
                <w:rFonts w:cs="Calibri"/>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false"/>
              <w:jc w:val="center"/>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r>
          </w:p>
          <w:p>
            <w:pPr>
              <w:pStyle w:val="Normal"/>
              <w:widowControl w:val="false"/>
              <w:tabs>
                <w:tab w:val="clear" w:pos="720"/>
                <w:tab w:val="left" w:pos="3847" w:leader="none"/>
              </w:tabs>
              <w:suppressAutoHyphens w:val="true"/>
              <w:overflowPunct w:val="fals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fals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19"/>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jc w:val="both"/>
        <w:rPr>
          <w:bCs/>
          <w:iCs/>
          <w:sz w:val="24"/>
          <w:szCs w:val="24"/>
          <w:lang w:val="uk-UA"/>
        </w:rPr>
      </w:pPr>
      <w:r>
        <w:rPr>
          <w:bCs/>
          <w:iCs/>
          <w:sz w:val="24"/>
          <w:szCs w:val="24"/>
          <w:lang w:val="uk-UA"/>
        </w:rPr>
      </w:r>
    </w:p>
    <w:p>
      <w:pPr>
        <w:pStyle w:val="Normal"/>
        <w:jc w:val="center"/>
        <w:rPr>
          <w:bCs/>
          <w:iCs/>
          <w:sz w:val="24"/>
          <w:szCs w:val="24"/>
          <w:lang w:val="uk-UA"/>
        </w:rPr>
      </w:pPr>
      <w:r>
        <w:rPr>
          <w:bCs/>
          <w:iCs/>
          <w:sz w:val="24"/>
          <w:szCs w:val="24"/>
          <w:lang w:val="uk-UA"/>
        </w:rPr>
      </w:r>
    </w:p>
    <w:p>
      <w:pPr>
        <w:pStyle w:val="Normal"/>
        <w:jc w:val="both"/>
        <w:rPr>
          <w:bCs/>
          <w:iCs/>
          <w:sz w:val="24"/>
          <w:szCs w:val="24"/>
          <w:lang w:val="uk-UA"/>
        </w:rPr>
      </w:pPr>
      <w:r>
        <w:rPr>
          <w:bCs/>
          <w:iCs/>
          <w:sz w:val="24"/>
          <w:szCs w:val="24"/>
          <w:lang w:val="uk-UA"/>
        </w:rPr>
      </w:r>
    </w:p>
    <w:p>
      <w:pPr>
        <w:pStyle w:val="Normal"/>
        <w:suppressAutoHyphens w:val="true"/>
        <w:spacing w:lineRule="atLeast" w:line="0" w:before="0" w:after="0"/>
        <w:ind w:left="23" w:hanging="0"/>
        <w:jc w:val="right"/>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6"/>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6"/>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6"/>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10"/>
        <w:gridCol w:w="1570"/>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7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59"/>
        <w:gridCol w:w="1346"/>
        <w:gridCol w:w="8236"/>
      </w:tblGrid>
      <w:tr>
        <w:trPr>
          <w:trHeight w:val="375" w:hRule="atLeast"/>
        </w:trPr>
        <w:tc>
          <w:tcPr>
            <w:tcW w:w="559"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4"/>
      <w:headerReference w:type="first" r:id="rId15"/>
      <w:footerReference w:type="first" r:id="rId16"/>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36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name w:val="hps"/>
    <w:qFormat/>
    <w:rPr/>
  </w:style>
  <w:style w:type="character" w:styleId="Style23">
    <w:name w:val="Маркери"/>
    <w:qFormat/>
    <w:rPr>
      <w:rFonts w:ascii="OpenSymbol" w:hAnsi="OpenSymbol" w:eastAsia="OpenSymbol" w:cs="OpenSymbol"/>
    </w:rPr>
  </w:style>
  <w:style w:type="character" w:styleId="Xfm31003041">
    <w:name w:val="xfm_31003041"/>
    <w:qFormat/>
    <w:rPr/>
  </w:style>
  <w:style w:type="character" w:styleId="Style24">
    <w:name w:val="Виділення жирним"/>
    <w:qFormat/>
    <w:rPr>
      <w:b/>
      <w:bCs/>
    </w:rPr>
  </w:style>
  <w:style w:type="paragraph" w:styleId="Style25" w:customStyle="1">
    <w:name w:val="Заголовок"/>
    <w:basedOn w:val="Normal"/>
    <w:next w:val="Style26"/>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6">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7">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8">
    <w:name w:val="Caption"/>
    <w:basedOn w:val="Normal"/>
    <w:qFormat/>
    <w:pPr>
      <w:suppressLineNumbers/>
      <w:spacing w:before="120" w:after="120"/>
    </w:pPr>
    <w:rPr>
      <w:rFonts w:cs="Lohit Devanagari"/>
      <w:i/>
      <w:iCs/>
      <w:sz w:val="24"/>
      <w:szCs w:val="24"/>
    </w:rPr>
  </w:style>
  <w:style w:type="paragraph" w:styleId="Style29"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30">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1">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2"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3"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4">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5">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6"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7"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8">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9"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4"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5"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6" w:customStyle="1">
    <w:name w:val="Заголовок таблиці"/>
    <w:basedOn w:val="Style45"/>
    <w:qFormat/>
    <w:rsid w:val="00b04b86"/>
    <w:pPr>
      <w:jc w:val="center"/>
    </w:pPr>
    <w:rPr>
      <w:b/>
      <w:bCs/>
    </w:rPr>
  </w:style>
  <w:style w:type="paragraph" w:styleId="Style47"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8"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name w:val="WW8Num2"/>
    <w:qFormat/>
  </w:style>
  <w:style w:type="numbering" w:styleId="WW8Num3">
    <w:name w:val="WW8Num3"/>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https://ips.ligazakon.net/document/view/kp230471?ed=2023_05_12&amp;an=22" TargetMode="External"/><Relationship Id="rId9" Type="http://schemas.openxmlformats.org/officeDocument/2006/relationships/hyperlink" Target="https://ips.ligazakon.net/document/view/kp230471?ed=2023_05_12&amp;an=21" TargetMode="External"/><Relationship Id="rId10" Type="http://schemas.openxmlformats.org/officeDocument/2006/relationships/hyperlink" Target="https://ips.ligazakon.net/document/view/kp230157?ed=2023_02_17&amp;an=19"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https://radnuk.com.ua/pravova-baza/pro-zatverdzhennia-typovoi-antykoruptsijnoi-prohramy-iurydychnoi-osob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Application>LibreOffice/7.3.7.2$Linux_X86_64 LibreOffice_project/30$Build-2</Application>
  <AppVersion>15.0000</AppVersion>
  <Pages>36</Pages>
  <Words>12106</Words>
  <Characters>81981</Characters>
  <CharactersWithSpaces>93833</CharactersWithSpaces>
  <Paragraphs>651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2024-02-09T15:21:10Z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