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0A" w:rsidRPr="00A76121" w:rsidRDefault="004E170A" w:rsidP="004E170A">
      <w:pPr>
        <w:jc w:val="right"/>
        <w:rPr>
          <w:b/>
        </w:rPr>
      </w:pPr>
      <w:r w:rsidRPr="00A76121">
        <w:rPr>
          <w:b/>
        </w:rPr>
        <w:t xml:space="preserve">ДОДАТОК </w:t>
      </w:r>
      <w:r w:rsidR="00043735">
        <w:rPr>
          <w:b/>
        </w:rPr>
        <w:t>2</w:t>
      </w:r>
    </w:p>
    <w:p w:rsidR="004E170A" w:rsidRPr="00A76121" w:rsidRDefault="004E170A" w:rsidP="004E170A">
      <w:pPr>
        <w:jc w:val="right"/>
        <w:rPr>
          <w:b/>
        </w:rPr>
      </w:pPr>
      <w:r w:rsidRPr="00A76121">
        <w:rPr>
          <w:b/>
        </w:rPr>
        <w:t xml:space="preserve">                                                                           до тендерної документації</w:t>
      </w:r>
    </w:p>
    <w:p w:rsidR="004E170A" w:rsidRDefault="004E170A" w:rsidP="004E170A">
      <w:pPr>
        <w:numPr>
          <w:ilvl w:val="0"/>
          <w:numId w:val="1"/>
        </w:numPr>
        <w:ind w:right="374"/>
        <w:jc w:val="center"/>
        <w:rPr>
          <w:b/>
          <w:bCs/>
          <w:noProof/>
          <w:color w:val="000000"/>
          <w:lang w:eastAsia="ru-RU"/>
        </w:rPr>
      </w:pPr>
    </w:p>
    <w:p w:rsidR="004E170A" w:rsidRPr="00497A2F" w:rsidRDefault="004E170A" w:rsidP="004E170A">
      <w:pPr>
        <w:numPr>
          <w:ilvl w:val="0"/>
          <w:numId w:val="1"/>
        </w:numPr>
        <w:ind w:right="374"/>
        <w:jc w:val="center"/>
        <w:rPr>
          <w:b/>
          <w:bCs/>
          <w:noProof/>
          <w:color w:val="000000"/>
          <w:lang w:eastAsia="ru-RU"/>
        </w:rPr>
      </w:pPr>
      <w:r w:rsidRPr="00497A2F">
        <w:rPr>
          <w:b/>
          <w:bCs/>
          <w:noProof/>
          <w:color w:val="000000"/>
          <w:lang w:eastAsia="ru-RU"/>
        </w:rPr>
        <w:t>ТЕХНІЧНІ ВИМОГИ</w:t>
      </w:r>
    </w:p>
    <w:p w:rsidR="004E170A" w:rsidRPr="00497A2F" w:rsidRDefault="004E170A" w:rsidP="004E170A">
      <w:pPr>
        <w:numPr>
          <w:ilvl w:val="0"/>
          <w:numId w:val="1"/>
        </w:numPr>
        <w:ind w:right="374"/>
        <w:jc w:val="center"/>
        <w:rPr>
          <w:b/>
          <w:bCs/>
          <w:noProof/>
          <w:color w:val="000000"/>
          <w:lang w:eastAsia="ru-RU"/>
        </w:rPr>
      </w:pPr>
      <w:r w:rsidRPr="00497A2F">
        <w:rPr>
          <w:b/>
          <w:bCs/>
          <w:noProof/>
          <w:color w:val="000000"/>
          <w:lang w:eastAsia="ru-RU"/>
        </w:rPr>
        <w:t>до предмета закупівлі:</w:t>
      </w:r>
    </w:p>
    <w:p w:rsidR="004E170A" w:rsidRPr="00C1504C" w:rsidRDefault="004E170A" w:rsidP="004E170A">
      <w:pPr>
        <w:ind w:right="374"/>
        <w:jc w:val="center"/>
        <w:rPr>
          <w:b/>
          <w:bCs/>
          <w:noProof/>
          <w:color w:val="000000" w:themeColor="text1"/>
          <w:lang w:eastAsia="ru-RU"/>
        </w:rPr>
      </w:pPr>
      <w:r w:rsidRPr="00C1504C">
        <w:rPr>
          <w:b/>
          <w:bCs/>
          <w:noProof/>
          <w:color w:val="000000" w:themeColor="text1"/>
          <w:lang w:eastAsia="ru-RU"/>
        </w:rPr>
        <w:t>«</w:t>
      </w:r>
      <w:r w:rsidR="00C1504C" w:rsidRPr="00C1504C">
        <w:rPr>
          <w:b/>
          <w:bCs/>
          <w:noProof/>
          <w:color w:val="000000" w:themeColor="text1"/>
          <w:lang w:eastAsia="ru-RU"/>
        </w:rPr>
        <w:t>поточний  ремонт підвального приміщення для укриття школи І-ІІІ ступенів №321 Деснянського району міста Києва</w:t>
      </w:r>
      <w:r w:rsidRPr="00C1504C">
        <w:rPr>
          <w:b/>
          <w:bCs/>
          <w:noProof/>
          <w:color w:val="000000" w:themeColor="text1"/>
          <w:lang w:eastAsia="ru-RU"/>
        </w:rPr>
        <w:t>»</w:t>
      </w:r>
    </w:p>
    <w:p w:rsidR="004E170A" w:rsidRPr="00497A2F" w:rsidRDefault="004E170A" w:rsidP="004E170A">
      <w:pPr>
        <w:ind w:right="374"/>
        <w:jc w:val="center"/>
        <w:rPr>
          <w:b/>
          <w:bCs/>
          <w:noProof/>
          <w:color w:val="000000"/>
          <w:lang w:eastAsia="ru-RU"/>
        </w:rPr>
      </w:pPr>
    </w:p>
    <w:p w:rsidR="004E170A" w:rsidRPr="00497A2F" w:rsidRDefault="004E170A" w:rsidP="004E170A">
      <w:pPr>
        <w:ind w:right="141"/>
        <w:jc w:val="both"/>
        <w:rPr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 xml:space="preserve">Учасник визначає ціни (із змінами та доповненнями), з урахуванням всіх видів та обсягів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, що повинні бути </w:t>
      </w:r>
      <w:r>
        <w:rPr>
          <w:bCs/>
          <w:noProof/>
          <w:color w:val="000000"/>
          <w:lang w:eastAsia="ru-RU"/>
        </w:rPr>
        <w:t>надані</w:t>
      </w:r>
      <w:r w:rsidRPr="00497A2F">
        <w:rPr>
          <w:bCs/>
          <w:noProof/>
          <w:color w:val="000000"/>
          <w:lang w:eastAsia="ru-RU"/>
        </w:rPr>
        <w:t>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4E170A" w:rsidRPr="00497A2F" w:rsidRDefault="004E170A" w:rsidP="004E170A">
      <w:pPr>
        <w:ind w:right="141"/>
        <w:jc w:val="both"/>
        <w:rPr>
          <w:b/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>При складанні ціни пропозиції (договірної ціни) на виконання підрядних робіт</w:t>
      </w:r>
      <w:r>
        <w:rPr>
          <w:bCs/>
          <w:noProof/>
          <w:color w:val="000000"/>
          <w:lang w:eastAsia="ru-RU"/>
        </w:rPr>
        <w:t>/послуг</w:t>
      </w:r>
      <w:r w:rsidRPr="00497A2F">
        <w:rPr>
          <w:bCs/>
          <w:noProof/>
          <w:color w:val="000000"/>
          <w:lang w:eastAsia="ru-RU"/>
        </w:rPr>
        <w:t xml:space="preserve">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4E170A" w:rsidRPr="00497A2F" w:rsidRDefault="004E170A" w:rsidP="004E170A">
      <w:pPr>
        <w:ind w:right="141"/>
        <w:jc w:val="both"/>
        <w:rPr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 xml:space="preserve">Якщо пропозиція закупівлі учасника містить не всі види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 або зміну обсягів та складу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4E170A" w:rsidRDefault="004E170A" w:rsidP="004E170A">
      <w:pPr>
        <w:ind w:right="141"/>
        <w:jc w:val="both"/>
        <w:rPr>
          <w:bCs/>
          <w:noProof/>
          <w:color w:val="000000"/>
          <w:lang w:eastAsia="ru-RU"/>
        </w:rPr>
      </w:pPr>
      <w:r w:rsidRPr="00497A2F">
        <w:rPr>
          <w:bCs/>
          <w:noProof/>
          <w:color w:val="000000"/>
          <w:lang w:eastAsia="ru-RU"/>
        </w:rPr>
        <w:tab/>
        <w:t xml:space="preserve">Якщо у найменуванні </w:t>
      </w:r>
      <w:r>
        <w:rPr>
          <w:bCs/>
          <w:noProof/>
          <w:color w:val="000000"/>
          <w:lang w:eastAsia="ru-RU"/>
        </w:rPr>
        <w:t>послуг</w:t>
      </w:r>
      <w:r w:rsidRPr="00497A2F">
        <w:rPr>
          <w:bCs/>
          <w:noProof/>
          <w:color w:val="000000"/>
          <w:lang w:eastAsia="ru-RU"/>
        </w:rPr>
        <w:t xml:space="preserve"> технічного завдання є посилання на конкретну торгівельну марку, фірму, конструкцію, тип обладнання або матеріал то даний вираз читається в значенні «або еквівалент».</w:t>
      </w:r>
    </w:p>
    <w:p w:rsidR="004E170A" w:rsidRPr="004E170A" w:rsidRDefault="004E170A" w:rsidP="004E170A">
      <w:pPr>
        <w:ind w:right="141" w:firstLine="709"/>
        <w:jc w:val="both"/>
        <w:rPr>
          <w:bCs/>
          <w:noProof/>
          <w:color w:val="0070C0"/>
          <w:lang w:eastAsia="ru-RU"/>
        </w:rPr>
      </w:pPr>
      <w:r w:rsidRPr="004E170A">
        <w:rPr>
          <w:bCs/>
          <w:noProof/>
          <w:color w:val="0070C0"/>
          <w:lang w:eastAsia="ru-RU"/>
        </w:rPr>
        <w:t>Учасник має надати гарантійний лист про те, що під час виконання робіт / надання послуг вимірювальна(-і) лабораторія(-ї), буде виконувати контроль якості будівельних матеріалів, виробів і конструкцій, які необхідні для виконання робіт/надання послуг за предметом закупівлі (з зазначенням предмета закупівлі) та скан-копію чинного договору із вимірювальною лабораторією.</w:t>
      </w:r>
    </w:p>
    <w:p w:rsidR="00246D54" w:rsidRPr="00246D54" w:rsidRDefault="00246D54" w:rsidP="00246D54">
      <w:pPr>
        <w:widowControl w:val="0"/>
        <w:autoSpaceDE w:val="0"/>
        <w:autoSpaceDN w:val="0"/>
        <w:spacing w:line="253" w:lineRule="exact"/>
        <w:ind w:left="31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246D54">
        <w:rPr>
          <w:lang w:eastAsia="en-US"/>
        </w:rPr>
        <w:t>Учаснику</w:t>
      </w:r>
      <w:r w:rsidRPr="00246D54">
        <w:rPr>
          <w:spacing w:val="-3"/>
          <w:lang w:eastAsia="en-US"/>
        </w:rPr>
        <w:t xml:space="preserve"> </w:t>
      </w:r>
      <w:r w:rsidRPr="00246D54">
        <w:rPr>
          <w:lang w:eastAsia="en-US"/>
        </w:rPr>
        <w:t>у</w:t>
      </w:r>
      <w:r w:rsidRPr="00246D54">
        <w:rPr>
          <w:spacing w:val="-6"/>
          <w:lang w:eastAsia="en-US"/>
        </w:rPr>
        <w:t xml:space="preserve"> </w:t>
      </w:r>
      <w:r w:rsidRPr="00246D54">
        <w:rPr>
          <w:lang w:eastAsia="en-US"/>
        </w:rPr>
        <w:t>складі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пропозиції</w:t>
      </w:r>
      <w:r w:rsidRPr="00246D54">
        <w:rPr>
          <w:spacing w:val="-2"/>
          <w:lang w:eastAsia="en-US"/>
        </w:rPr>
        <w:t xml:space="preserve"> </w:t>
      </w:r>
      <w:r w:rsidRPr="00246D54">
        <w:rPr>
          <w:lang w:eastAsia="en-US"/>
        </w:rPr>
        <w:t>необхідно</w:t>
      </w:r>
      <w:r w:rsidRPr="00246D54">
        <w:rPr>
          <w:spacing w:val="-2"/>
          <w:lang w:eastAsia="en-US"/>
        </w:rPr>
        <w:t xml:space="preserve"> </w:t>
      </w:r>
      <w:r w:rsidRPr="00246D54">
        <w:rPr>
          <w:lang w:eastAsia="en-US"/>
        </w:rPr>
        <w:t>надати:</w:t>
      </w:r>
    </w:p>
    <w:p w:rsidR="00246D54" w:rsidRPr="00246D54" w:rsidRDefault="00246D54" w:rsidP="00246D54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ind w:right="23" w:firstLine="283"/>
        <w:jc w:val="both"/>
        <w:rPr>
          <w:lang w:eastAsia="en-US"/>
        </w:rPr>
      </w:pPr>
      <w:r w:rsidRPr="00246D54">
        <w:rPr>
          <w:lang w:eastAsia="en-US"/>
        </w:rPr>
        <w:t>оригінал або копію сертифікату на систему управління якістю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учасника</w:t>
      </w:r>
      <w:r w:rsidRPr="00246D54">
        <w:rPr>
          <w:spacing w:val="36"/>
          <w:lang w:eastAsia="en-US"/>
        </w:rPr>
        <w:t xml:space="preserve"> </w:t>
      </w:r>
      <w:r w:rsidRPr="00246D54">
        <w:rPr>
          <w:lang w:eastAsia="en-US"/>
        </w:rPr>
        <w:t>щодо</w:t>
      </w:r>
      <w:r w:rsidRPr="00246D54">
        <w:rPr>
          <w:spacing w:val="36"/>
          <w:lang w:eastAsia="en-US"/>
        </w:rPr>
        <w:t xml:space="preserve"> </w:t>
      </w:r>
      <w:r w:rsidRPr="00246D54">
        <w:rPr>
          <w:lang w:eastAsia="en-US"/>
        </w:rPr>
        <w:t>відповідності</w:t>
      </w:r>
      <w:r w:rsidRPr="00246D54">
        <w:rPr>
          <w:spacing w:val="37"/>
          <w:lang w:eastAsia="en-US"/>
        </w:rPr>
        <w:t xml:space="preserve"> </w:t>
      </w:r>
      <w:r w:rsidRPr="00246D54">
        <w:rPr>
          <w:lang w:eastAsia="en-US"/>
        </w:rPr>
        <w:t>вимогам</w:t>
      </w:r>
      <w:r w:rsidRPr="00246D54">
        <w:rPr>
          <w:spacing w:val="33"/>
          <w:lang w:eastAsia="en-US"/>
        </w:rPr>
        <w:t xml:space="preserve"> </w:t>
      </w:r>
      <w:r w:rsidRPr="00246D54">
        <w:rPr>
          <w:lang w:eastAsia="en-US"/>
        </w:rPr>
        <w:t>ДСТУ</w:t>
      </w:r>
      <w:r w:rsidRPr="00246D54">
        <w:rPr>
          <w:spacing w:val="33"/>
          <w:lang w:eastAsia="en-US"/>
        </w:rPr>
        <w:t xml:space="preserve"> </w:t>
      </w:r>
      <w:r w:rsidRPr="00246D54">
        <w:rPr>
          <w:lang w:eastAsia="en-US"/>
        </w:rPr>
        <w:t>ISO</w:t>
      </w:r>
      <w:r w:rsidRPr="00246D54">
        <w:rPr>
          <w:spacing w:val="35"/>
          <w:lang w:eastAsia="en-US"/>
        </w:rPr>
        <w:t xml:space="preserve"> </w:t>
      </w:r>
      <w:r w:rsidRPr="00246D54">
        <w:rPr>
          <w:lang w:eastAsia="en-US"/>
        </w:rPr>
        <w:t>9001:2015</w:t>
      </w:r>
    </w:p>
    <w:p w:rsidR="00246D54" w:rsidRPr="00246D54" w:rsidRDefault="00246D54" w:rsidP="00246D54">
      <w:pPr>
        <w:widowControl w:val="0"/>
        <w:autoSpaceDE w:val="0"/>
        <w:autoSpaceDN w:val="0"/>
        <w:ind w:left="31" w:right="24"/>
        <w:jc w:val="both"/>
        <w:rPr>
          <w:lang w:eastAsia="en-US"/>
        </w:rPr>
      </w:pPr>
      <w:r w:rsidRPr="00246D54">
        <w:rPr>
          <w:lang w:eastAsia="en-US"/>
        </w:rPr>
        <w:t>«Системи управління якістю. Вимоги», що є дійсним не менше, ніж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на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строк</w:t>
      </w:r>
      <w:r w:rsidRPr="00246D54">
        <w:rPr>
          <w:spacing w:val="-3"/>
          <w:lang w:eastAsia="en-US"/>
        </w:rPr>
        <w:t xml:space="preserve"> </w:t>
      </w:r>
      <w:r w:rsidRPr="00246D54">
        <w:rPr>
          <w:lang w:eastAsia="en-US"/>
        </w:rPr>
        <w:t>дії тендерної пропозиції та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виданий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на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ім’я</w:t>
      </w:r>
      <w:r w:rsidRPr="00246D54">
        <w:rPr>
          <w:spacing w:val="-2"/>
          <w:lang w:eastAsia="en-US"/>
        </w:rPr>
        <w:t xml:space="preserve"> </w:t>
      </w:r>
      <w:r w:rsidRPr="00246D54">
        <w:rPr>
          <w:lang w:eastAsia="en-US"/>
        </w:rPr>
        <w:t>Учасника;</w:t>
      </w:r>
    </w:p>
    <w:p w:rsidR="00246D54" w:rsidRPr="00246D54" w:rsidRDefault="00246D54" w:rsidP="00246D54">
      <w:pPr>
        <w:widowControl w:val="0"/>
        <w:numPr>
          <w:ilvl w:val="0"/>
          <w:numId w:val="2"/>
        </w:numPr>
        <w:tabs>
          <w:tab w:val="left" w:pos="550"/>
        </w:tabs>
        <w:autoSpaceDE w:val="0"/>
        <w:autoSpaceDN w:val="0"/>
        <w:ind w:right="20" w:firstLine="283"/>
        <w:jc w:val="both"/>
        <w:rPr>
          <w:lang w:eastAsia="en-US"/>
        </w:rPr>
      </w:pPr>
      <w:r w:rsidRPr="00246D54">
        <w:rPr>
          <w:lang w:eastAsia="en-US"/>
        </w:rPr>
        <w:t>оригінал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або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копію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сертифікату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на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систему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екологічного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управління, який підтверджує (чи яким посвідчується), що система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екологічного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управління учасника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відповідає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вимогам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ДСТУ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ISO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14001:2015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(ISO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14001:2015,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IDT)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«Системи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екологічного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управління. Вимоги та настанови щодо застосування». Сертифікат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має бути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виданий на</w:t>
      </w:r>
      <w:r w:rsidRPr="00246D54">
        <w:rPr>
          <w:spacing w:val="-2"/>
          <w:lang w:eastAsia="en-US"/>
        </w:rPr>
        <w:t xml:space="preserve"> </w:t>
      </w:r>
      <w:r w:rsidRPr="00246D54">
        <w:rPr>
          <w:lang w:eastAsia="en-US"/>
        </w:rPr>
        <w:t>ім’я</w:t>
      </w:r>
      <w:r w:rsidRPr="00246D54">
        <w:rPr>
          <w:spacing w:val="-3"/>
          <w:lang w:eastAsia="en-US"/>
        </w:rPr>
        <w:t xml:space="preserve"> </w:t>
      </w:r>
      <w:r w:rsidRPr="00246D54">
        <w:rPr>
          <w:lang w:eastAsia="en-US"/>
        </w:rPr>
        <w:t>Учасника.</w:t>
      </w:r>
    </w:p>
    <w:p w:rsidR="00246D54" w:rsidRPr="00246D54" w:rsidRDefault="00246D54" w:rsidP="00246D54">
      <w:pPr>
        <w:widowControl w:val="0"/>
        <w:numPr>
          <w:ilvl w:val="0"/>
          <w:numId w:val="2"/>
        </w:numPr>
        <w:tabs>
          <w:tab w:val="left" w:pos="574"/>
        </w:tabs>
        <w:autoSpaceDE w:val="0"/>
        <w:autoSpaceDN w:val="0"/>
        <w:ind w:right="20" w:firstLine="283"/>
        <w:jc w:val="both"/>
        <w:rPr>
          <w:lang w:eastAsia="en-US"/>
        </w:rPr>
      </w:pPr>
      <w:r w:rsidRPr="00246D54">
        <w:rPr>
          <w:lang w:eastAsia="en-US"/>
        </w:rPr>
        <w:t>оригінал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або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копію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сертифікату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на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систему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управління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охороною здоров’я та безпекою праці, який підтверджує (чи яким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посвідчується),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що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система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управління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охороною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здоров’я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та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безпекою праці учасника відповідає вимогам ДСТУ ISO 45001:2019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(ISO 45001:2018, IDT) «Системи управління охороною здоров'я та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безпекою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праці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та виданий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на ім’я Учасника.</w:t>
      </w:r>
    </w:p>
    <w:p w:rsidR="00246D54" w:rsidRPr="00246D54" w:rsidRDefault="00246D54" w:rsidP="00246D5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ind w:right="21" w:firstLine="283"/>
        <w:jc w:val="both"/>
        <w:rPr>
          <w:lang w:eastAsia="en-US"/>
        </w:rPr>
      </w:pPr>
      <w:r w:rsidRPr="00246D54">
        <w:rPr>
          <w:lang w:eastAsia="en-US"/>
        </w:rPr>
        <w:t>оригінал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або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копію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сертифікату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на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систему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енергетичного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менеджменту,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який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підтверджує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(чи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яким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посвідчується),</w:t>
      </w:r>
      <w:r w:rsidRPr="00246D54">
        <w:rPr>
          <w:spacing w:val="56"/>
          <w:lang w:eastAsia="en-US"/>
        </w:rPr>
        <w:t xml:space="preserve"> </w:t>
      </w:r>
      <w:r w:rsidRPr="00246D54">
        <w:rPr>
          <w:lang w:eastAsia="en-US"/>
        </w:rPr>
        <w:t>що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система енергетичного менеджменту учасника відповідає вимогам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ДСТУ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ISO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50001:2020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"Системи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енергетичного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менеджменту"</w:t>
      </w:r>
      <w:r w:rsidRPr="00246D54">
        <w:rPr>
          <w:spacing w:val="1"/>
          <w:lang w:eastAsia="en-US"/>
        </w:rPr>
        <w:t xml:space="preserve"> </w:t>
      </w:r>
      <w:r w:rsidRPr="00246D54">
        <w:rPr>
          <w:lang w:eastAsia="en-US"/>
        </w:rPr>
        <w:t>та</w:t>
      </w:r>
      <w:r w:rsidRPr="00246D54">
        <w:rPr>
          <w:spacing w:val="-52"/>
          <w:lang w:eastAsia="en-US"/>
        </w:rPr>
        <w:t xml:space="preserve"> </w:t>
      </w:r>
      <w:r w:rsidRPr="00246D54">
        <w:rPr>
          <w:lang w:eastAsia="en-US"/>
        </w:rPr>
        <w:t>виданий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на ім’я</w:t>
      </w:r>
      <w:r w:rsidRPr="00246D54">
        <w:rPr>
          <w:spacing w:val="-1"/>
          <w:lang w:eastAsia="en-US"/>
        </w:rPr>
        <w:t xml:space="preserve"> </w:t>
      </w:r>
      <w:r w:rsidRPr="00246D54">
        <w:rPr>
          <w:lang w:eastAsia="en-US"/>
        </w:rPr>
        <w:t>Учасника.</w:t>
      </w:r>
    </w:p>
    <w:p w:rsidR="004E170A" w:rsidRPr="00246D54" w:rsidRDefault="00246D54" w:rsidP="00246D54">
      <w:pPr>
        <w:jc w:val="both"/>
      </w:pPr>
      <w:r w:rsidRPr="00246D54">
        <w:rPr>
          <w:i/>
          <w:lang w:eastAsia="en-US"/>
        </w:rPr>
        <w:t>(Наявність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даних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сертифікатів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є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гарантією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спроможності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стабільно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та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безперервно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забезпечувати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якість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та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безпечність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послуг/робіт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протягом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усього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часу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їх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надання/виконання;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це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забезпечення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упевненості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в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тому,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що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послуги/роботи,</w:t>
      </w:r>
      <w:r w:rsidRPr="00246D54">
        <w:rPr>
          <w:i/>
          <w:spacing w:val="56"/>
          <w:lang w:eastAsia="en-US"/>
        </w:rPr>
        <w:t xml:space="preserve"> </w:t>
      </w:r>
      <w:r w:rsidRPr="00246D54">
        <w:rPr>
          <w:i/>
          <w:lang w:eastAsia="en-US"/>
        </w:rPr>
        <w:t>які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надаються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підприємством,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відповідають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обов'язковим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вимогам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нормативних документів, при цьому всі технічні, адміністративні і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людські чинники, що впливають на якість послуг, знаходяться під</w:t>
      </w:r>
      <w:r w:rsidRPr="00246D54">
        <w:rPr>
          <w:i/>
          <w:spacing w:val="1"/>
          <w:lang w:eastAsia="en-US"/>
        </w:rPr>
        <w:t xml:space="preserve"> </w:t>
      </w:r>
      <w:r w:rsidRPr="00246D54">
        <w:rPr>
          <w:i/>
          <w:lang w:eastAsia="en-US"/>
        </w:rPr>
        <w:t>контролем).</w:t>
      </w:r>
    </w:p>
    <w:p w:rsidR="004E170A" w:rsidRDefault="004E170A" w:rsidP="004E170A">
      <w:pPr>
        <w:jc w:val="center"/>
      </w:pPr>
    </w:p>
    <w:p w:rsidR="00246D54" w:rsidRDefault="00246D54" w:rsidP="004E170A">
      <w:pPr>
        <w:jc w:val="center"/>
      </w:pPr>
    </w:p>
    <w:p w:rsidR="00246D54" w:rsidRPr="006E58CF" w:rsidRDefault="00246D54" w:rsidP="004E170A">
      <w:pPr>
        <w:jc w:val="center"/>
      </w:pPr>
    </w:p>
    <w:p w:rsidR="004E170A" w:rsidRDefault="004E170A" w:rsidP="004E170A">
      <w:pPr>
        <w:jc w:val="center"/>
      </w:pPr>
    </w:p>
    <w:p w:rsidR="004E170A" w:rsidRPr="004141FB" w:rsidRDefault="004E170A" w:rsidP="004E170A">
      <w:pPr>
        <w:jc w:val="center"/>
        <w:rPr>
          <w:color w:val="FF0000"/>
        </w:rPr>
      </w:pPr>
      <w:r w:rsidRPr="004141FB">
        <w:rPr>
          <w:color w:val="FF0000"/>
        </w:rPr>
        <w:lastRenderedPageBreak/>
        <w:t xml:space="preserve">ДЕФЕКТНИЙ АКТ </w:t>
      </w:r>
    </w:p>
    <w:p w:rsidR="004E170A" w:rsidRPr="004141FB" w:rsidRDefault="004E170A" w:rsidP="004E170A">
      <w:pPr>
        <w:jc w:val="center"/>
        <w:rPr>
          <w:color w:val="FF0000"/>
        </w:rPr>
      </w:pPr>
      <w:r w:rsidRPr="004141FB">
        <w:rPr>
          <w:color w:val="FF0000"/>
        </w:rPr>
        <w:t>(Додаток № 2 до тендерної документації додається окремо)</w:t>
      </w:r>
    </w:p>
    <w:p w:rsidR="004E170A" w:rsidRDefault="004E170A" w:rsidP="004E170A">
      <w:pPr>
        <w:shd w:val="clear" w:color="auto" w:fill="FFFFFF"/>
        <w:suppressAutoHyphens/>
        <w:ind w:firstLine="720"/>
        <w:jc w:val="right"/>
        <w:rPr>
          <w:bCs/>
          <w:iCs/>
          <w:color w:val="000000"/>
          <w:lang w:eastAsia="ar-SA"/>
        </w:rPr>
      </w:pPr>
    </w:p>
    <w:tbl>
      <w:tblPr>
        <w:tblW w:w="11740" w:type="dxa"/>
        <w:tblLook w:val="04A0" w:firstRow="1" w:lastRow="0" w:firstColumn="1" w:lastColumn="0" w:noHBand="0" w:noVBand="1"/>
      </w:tblPr>
      <w:tblGrid>
        <w:gridCol w:w="640"/>
        <w:gridCol w:w="960"/>
        <w:gridCol w:w="3740"/>
        <w:gridCol w:w="640"/>
        <w:gridCol w:w="236"/>
        <w:gridCol w:w="724"/>
        <w:gridCol w:w="86"/>
        <w:gridCol w:w="150"/>
        <w:gridCol w:w="1188"/>
        <w:gridCol w:w="176"/>
        <w:gridCol w:w="236"/>
        <w:gridCol w:w="1364"/>
        <w:gridCol w:w="1340"/>
        <w:gridCol w:w="260"/>
      </w:tblGrid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67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proofErr w:type="gram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затверджує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 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___________________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67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( посада</w:t>
            </w:r>
            <w:proofErr w:type="gram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підпис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ініціали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прізвище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 xml:space="preserve"> 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“_____” ____________________________20__ р.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360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  <w:r w:rsidRPr="001B088E"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  <w:t>ДЕФЕКТНИЙ АКТ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720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Поточний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підвальних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приміщень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використовуються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найпростіші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укриття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 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школі</w:t>
            </w:r>
            <w:proofErr w:type="spellEnd"/>
            <w:proofErr w:type="gram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І-ІІІ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ступенів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№321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Десняньского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райну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Києва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. Теодора Драйзера, 40 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spacing w:after="240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к-т=1,2</w:t>
            </w:r>
            <w:bookmarkStart w:id="0" w:name="_GoBack"/>
            <w:bookmarkEnd w:id="0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spacing w:after="240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11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Об'єми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№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Ч.ч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</w:tc>
        <w:tc>
          <w:tcPr>
            <w:tcW w:w="104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311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Примітка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№1. 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Влаштування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покрівлі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накривок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парапетів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(Демонтаж)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примикань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висотою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400 мм до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цегляних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парапетів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рулонних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покрівельних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55,4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покриттів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покрівлі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рулонних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2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шари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(Демонтаж)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вирівнювальної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>стяжки 30 мм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(Демонтаж) 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кожні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5 мм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шару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вирівнювальної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( к</w:t>
            </w:r>
            <w:proofErr w:type="gram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=8 до 70 мм сер.)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прокладної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гідроізоляції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один шар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похилоутворюючої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70 мм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кожні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5 мм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шару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вирівнювальної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(к=8, до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>70 мм)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Армування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дротяною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сіткою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галтелі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55,4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покрівель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рулонних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наплавляються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газопламеневих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пальників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в два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шари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примикань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висотою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400 мм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рулонних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покрівельних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цегляних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парапетів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газопламеневих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пальників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55,4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листової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парапетів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№2.  Фасад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облицювання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керамічних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плиток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40,6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Грунтування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бетоноконтактом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40,6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штукатурення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каменю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фасадів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40,6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фасадів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підготовленій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поверхні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40,6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облицювання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керамічних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плиток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Грунтування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бетоноконтактом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штукатурення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каменю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укосів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підготовленій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поверхні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грат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9,9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Ґрунтування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за один раз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ґрунтовкою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ГФ-021 /при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гратчастих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/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9,9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олійними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за 2 рази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раніше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пофарбованих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грат та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огорож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9,9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коробок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полотен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2,18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коробок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навішуванням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дверних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полотен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2,18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№3.  Ремонт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                 """ СТЕЛІ"""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внутрішніх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вапняної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швів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між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плитами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перекриття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 шва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69,2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Протравлення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протигрибковими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Грунтування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БЕТОНКОНТАКТОМ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Просте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штукатурення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всередені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будівлі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>цементно-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вапняним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цементним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каменю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та бетону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[типу "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сатенгіпс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"]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шару 1,5 мм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за 3 рази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стель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[типу "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сатенгіпс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"], 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0,5 мм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вилучати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( к</w:t>
            </w:r>
            <w:proofErr w:type="gram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=3 до 3 мм)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полівінілацетатними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водоемульсійними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збірних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конструкціях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підготовлених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                """ СТІНИ"""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Очищення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вручну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внутрішніх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вапняної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176,7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цегляних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глибині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забиття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0,5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цеглини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забиття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одному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місці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до 1 м2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38,87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lastRenderedPageBreak/>
              <w:t>38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Мурування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ділянок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внутрішніх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цегли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м3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0,988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Протравлення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протигрибковими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176,7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обшивки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гіпсокартонними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і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гіпсоволокнистими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листами 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клеї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176,7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[типу "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сатенгіпс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"]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шару 1 мм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за 2 рази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176,7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[типу "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сатенгіпс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"], 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0,5 мм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вилучати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( к</w:t>
            </w:r>
            <w:proofErr w:type="gram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=2 до 2 мм)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176,7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Поліпшене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полівінілацетатними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водоемульсійними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сумішами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збірних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конструкціях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підготовлених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фарбування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176,7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                  "" ПІДЛОГА"""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покриттів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підлог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лінолеуму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покриттів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підлог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Ущільнення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ґрунту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пневматичними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трамбівками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група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ґрунту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1-2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м3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8,14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прокладної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пароізоляції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один шар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20 мм по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бетонній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20 м2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кожні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5 мм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товщини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шару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цементної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виключати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( к</w:t>
            </w:r>
            <w:proofErr w:type="gram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=16 до 100 мм)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Армування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стяжки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дротяною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сіткою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покриттів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керамічних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плиток на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розчині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сухої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клеючої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плиток в 1 м2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7 до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 xml:space="preserve">12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81,4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плінтусів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плиток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керамічних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№4. 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30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світильників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вимикачів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борозен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цегляних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стінах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борозен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  <w:t>до 20 см2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схованій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проводці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борознах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штепсельних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розеток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герметичних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та</w:t>
            </w: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напівгерметичних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вимикачів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утопленого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типу при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схованій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проводці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, 1-клавішних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Монтаж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світильників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Розділ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№5. 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Навантаження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сміття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вручну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т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15,98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сміття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до 30 км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15,98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114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46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1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Склав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   ____________________________________</w:t>
            </w:r>
          </w:p>
        </w:tc>
      </w:tr>
      <w:tr w:rsidR="001B088E" w:rsidRPr="001B088E" w:rsidTr="001B088E">
        <w:trPr>
          <w:trHeight w:val="300"/>
        </w:trPr>
        <w:tc>
          <w:tcPr>
            <w:tcW w:w="1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                      </w:t>
            </w:r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[посада, </w:t>
            </w:r>
            <w:proofErr w:type="spell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підпис</w:t>
            </w:r>
            <w:proofErr w:type="spellEnd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spell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ініціали</w:t>
            </w:r>
            <w:proofErr w:type="spellEnd"/>
            <w:proofErr w:type="gramEnd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)]</w:t>
            </w:r>
          </w:p>
        </w:tc>
      </w:tr>
      <w:tr w:rsidR="001B088E" w:rsidRPr="001B088E" w:rsidTr="001B088E">
        <w:trPr>
          <w:trHeight w:val="246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97"/>
        </w:trPr>
        <w:tc>
          <w:tcPr>
            <w:tcW w:w="1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Перевірив</w:t>
            </w:r>
            <w:proofErr w:type="spellEnd"/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____________________________________</w:t>
            </w:r>
          </w:p>
        </w:tc>
      </w:tr>
      <w:tr w:rsidR="001B088E" w:rsidRPr="001B088E" w:rsidTr="001B088E">
        <w:trPr>
          <w:trHeight w:val="300"/>
        </w:trPr>
        <w:tc>
          <w:tcPr>
            <w:tcW w:w="1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1B088E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[посада, </w:t>
            </w:r>
            <w:proofErr w:type="spell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підпис</w:t>
            </w:r>
            <w:proofErr w:type="spellEnd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spell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ініціали</w:t>
            </w:r>
            <w:proofErr w:type="spellEnd"/>
            <w:proofErr w:type="gramEnd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1B088E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val="ru-RU" w:eastAsia="ru-RU"/>
              </w:rPr>
              <w:t>)]</w:t>
            </w:r>
          </w:p>
        </w:tc>
      </w:tr>
      <w:tr w:rsidR="001B088E" w:rsidRPr="001B088E" w:rsidTr="001B088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B088E" w:rsidRPr="001B088E" w:rsidTr="001B088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8E" w:rsidRPr="001B088E" w:rsidRDefault="001B088E" w:rsidP="001B088E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C7679" w:rsidRDefault="007C7679"/>
    <w:sectPr w:rsidR="007C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i/>
        <w:iCs/>
        <w:caps/>
        <w:color w:val="000000"/>
        <w:sz w:val="24"/>
        <w:szCs w:val="24"/>
        <w:vertAlign w:val="superscript"/>
      </w:rPr>
    </w:lvl>
  </w:abstractNum>
  <w:abstractNum w:abstractNumId="1">
    <w:nsid w:val="140F3AD5"/>
    <w:multiLevelType w:val="hybridMultilevel"/>
    <w:tmpl w:val="7F242E04"/>
    <w:lvl w:ilvl="0" w:tplc="ABD470B8">
      <w:numFmt w:val="bullet"/>
      <w:lvlText w:val="-"/>
      <w:lvlJc w:val="left"/>
      <w:pPr>
        <w:ind w:left="31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9EEC084">
      <w:numFmt w:val="bullet"/>
      <w:lvlText w:val="•"/>
      <w:lvlJc w:val="left"/>
      <w:pPr>
        <w:ind w:left="693" w:hanging="159"/>
      </w:pPr>
      <w:rPr>
        <w:rFonts w:hint="default"/>
        <w:lang w:val="uk-UA" w:eastAsia="en-US" w:bidi="ar-SA"/>
      </w:rPr>
    </w:lvl>
    <w:lvl w:ilvl="2" w:tplc="1C843F0C">
      <w:numFmt w:val="bullet"/>
      <w:lvlText w:val="•"/>
      <w:lvlJc w:val="left"/>
      <w:pPr>
        <w:ind w:left="1346" w:hanging="159"/>
      </w:pPr>
      <w:rPr>
        <w:rFonts w:hint="default"/>
        <w:lang w:val="uk-UA" w:eastAsia="en-US" w:bidi="ar-SA"/>
      </w:rPr>
    </w:lvl>
    <w:lvl w:ilvl="3" w:tplc="F91C5D7E">
      <w:numFmt w:val="bullet"/>
      <w:lvlText w:val="•"/>
      <w:lvlJc w:val="left"/>
      <w:pPr>
        <w:ind w:left="1999" w:hanging="159"/>
      </w:pPr>
      <w:rPr>
        <w:rFonts w:hint="default"/>
        <w:lang w:val="uk-UA" w:eastAsia="en-US" w:bidi="ar-SA"/>
      </w:rPr>
    </w:lvl>
    <w:lvl w:ilvl="4" w:tplc="1884CF16">
      <w:numFmt w:val="bullet"/>
      <w:lvlText w:val="•"/>
      <w:lvlJc w:val="left"/>
      <w:pPr>
        <w:ind w:left="2653" w:hanging="159"/>
      </w:pPr>
      <w:rPr>
        <w:rFonts w:hint="default"/>
        <w:lang w:val="uk-UA" w:eastAsia="en-US" w:bidi="ar-SA"/>
      </w:rPr>
    </w:lvl>
    <w:lvl w:ilvl="5" w:tplc="02A8627C">
      <w:numFmt w:val="bullet"/>
      <w:lvlText w:val="•"/>
      <w:lvlJc w:val="left"/>
      <w:pPr>
        <w:ind w:left="3306" w:hanging="159"/>
      </w:pPr>
      <w:rPr>
        <w:rFonts w:hint="default"/>
        <w:lang w:val="uk-UA" w:eastAsia="en-US" w:bidi="ar-SA"/>
      </w:rPr>
    </w:lvl>
    <w:lvl w:ilvl="6" w:tplc="94CE12E2">
      <w:numFmt w:val="bullet"/>
      <w:lvlText w:val="•"/>
      <w:lvlJc w:val="left"/>
      <w:pPr>
        <w:ind w:left="3959" w:hanging="159"/>
      </w:pPr>
      <w:rPr>
        <w:rFonts w:hint="default"/>
        <w:lang w:val="uk-UA" w:eastAsia="en-US" w:bidi="ar-SA"/>
      </w:rPr>
    </w:lvl>
    <w:lvl w:ilvl="7" w:tplc="DA4071D0">
      <w:numFmt w:val="bullet"/>
      <w:lvlText w:val="•"/>
      <w:lvlJc w:val="left"/>
      <w:pPr>
        <w:ind w:left="4613" w:hanging="159"/>
      </w:pPr>
      <w:rPr>
        <w:rFonts w:hint="default"/>
        <w:lang w:val="uk-UA" w:eastAsia="en-US" w:bidi="ar-SA"/>
      </w:rPr>
    </w:lvl>
    <w:lvl w:ilvl="8" w:tplc="DB0E33EA">
      <w:numFmt w:val="bullet"/>
      <w:lvlText w:val="•"/>
      <w:lvlJc w:val="left"/>
      <w:pPr>
        <w:ind w:left="5266" w:hanging="159"/>
      </w:pPr>
      <w:rPr>
        <w:rFonts w:hint="default"/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B"/>
    <w:rsid w:val="00043735"/>
    <w:rsid w:val="001B088E"/>
    <w:rsid w:val="00246D54"/>
    <w:rsid w:val="004E170A"/>
    <w:rsid w:val="005A2118"/>
    <w:rsid w:val="0076044B"/>
    <w:rsid w:val="007C7679"/>
    <w:rsid w:val="00C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7BDDB-FF8C-41CF-B52B-1214B1F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buhgalter2</cp:lastModifiedBy>
  <cp:revision>3</cp:revision>
  <dcterms:created xsi:type="dcterms:W3CDTF">2023-06-27T09:48:00Z</dcterms:created>
  <dcterms:modified xsi:type="dcterms:W3CDTF">2023-06-27T11:22:00Z</dcterms:modified>
</cp:coreProperties>
</file>