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3741" w14:textId="77777777" w:rsidR="00DD044B" w:rsidRPr="00741818" w:rsidRDefault="00DD044B" w:rsidP="00DD044B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741818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>ЦЕНТР КУЛЬТУРИ ТА ДОЗВІЛЛЯ</w:t>
      </w:r>
    </w:p>
    <w:p w14:paraId="3033AC4E" w14:textId="77777777" w:rsidR="00DD044B" w:rsidRPr="00741818" w:rsidRDefault="00DD044B" w:rsidP="00DD044B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741818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 xml:space="preserve"> ПОЛТАВСЬКОЇ МІСЬКОЇ ТЕРИТОРІАЛЬНОЇ ГРОМАДИ</w:t>
      </w:r>
    </w:p>
    <w:p w14:paraId="4965F132" w14:textId="77777777" w:rsidR="00DD044B" w:rsidRPr="00741818" w:rsidRDefault="00DD044B" w:rsidP="00DD044B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6E2E23B" w14:textId="77777777" w:rsidR="00DD044B" w:rsidRPr="00741818" w:rsidRDefault="00DD044B" w:rsidP="00DD044B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741818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ПРОТОКОЛЬНЕ РІШЕННЯ </w:t>
      </w:r>
    </w:p>
    <w:p w14:paraId="290DCDD2" w14:textId="77777777" w:rsidR="00DD044B" w:rsidRPr="00924601" w:rsidRDefault="00DD044B" w:rsidP="00DD044B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119DC9B5" w14:textId="77777777" w:rsidR="00DD044B" w:rsidRPr="00924601" w:rsidRDefault="00DD044B" w:rsidP="00DD044B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D4FE51D" w14:textId="106F03CE" w:rsidR="00DD044B" w:rsidRPr="00924601" w:rsidRDefault="004143A0" w:rsidP="00DD044B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16</w:t>
      </w:r>
      <w:r w:rsidR="00DD044B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січня 2024 року</w:t>
      </w:r>
      <w:r w:rsidR="00DD044B" w:rsidRPr="00924601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            </w:t>
      </w:r>
      <w:r w:rsidR="00DD044B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місто Полтава</w:t>
      </w:r>
      <w:r w:rsidR="00DD044B" w:rsidRPr="00924601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№ 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12</w:t>
      </w:r>
    </w:p>
    <w:p w14:paraId="2D158ADD" w14:textId="77777777" w:rsidR="00DD044B" w:rsidRPr="00924601" w:rsidRDefault="00DD044B" w:rsidP="00DD044B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E7D078B" w14:textId="77777777" w:rsidR="00DD044B" w:rsidRPr="00924601" w:rsidRDefault="00DD044B" w:rsidP="00DD044B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924601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уповноваженої особи</w:t>
      </w:r>
    </w:p>
    <w:p w14:paraId="1BD7B730" w14:textId="77777777" w:rsidR="006D5BA6" w:rsidRDefault="006D5BA6" w:rsidP="006D5BA6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D9B5DD1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  <w:t>Порядок денний:</w:t>
      </w:r>
    </w:p>
    <w:p w14:paraId="0C6AE94E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14:paraId="7C8508A9" w14:textId="79CEED63" w:rsidR="006D5BA6" w:rsidRPr="00DD044B" w:rsidRDefault="006D5BA6" w:rsidP="006D5BA6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 w:rsidRPr="00C409E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Про </w:t>
      </w:r>
      <w:r w:rsidR="00AC0796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внесення змін до тендерної документації на закупівлю </w:t>
      </w:r>
      <w:r w:rsid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Електрична </w:t>
      </w:r>
      <w:r w:rsidR="00DD044B" w:rsidRP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енергія</w:t>
      </w:r>
      <w:r w:rsidR="00AC0796" w:rsidRP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="00DD044B" w:rsidRP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(ДК 021:2015 09310000-5  Електрична енергія</w:t>
      </w:r>
      <w:r w:rsidR="00AC0796" w:rsidRP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, №</w:t>
      </w:r>
      <w:r w:rsidR="00DD044B" w:rsidRP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="00DD044B" w:rsidRPr="00DD044B">
        <w:rPr>
          <w:rFonts w:ascii="Times New Roman" w:hAnsi="Times New Roman"/>
          <w:sz w:val="20"/>
          <w:szCs w:val="20"/>
          <w:shd w:val="clear" w:color="auto" w:fill="FFFFFF"/>
        </w:rPr>
        <w:t>UA</w:t>
      </w:r>
      <w:r w:rsidR="00DD044B" w:rsidRP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-2024-01-11-009077-а</w:t>
      </w:r>
      <w:r w:rsidR="00AC0796" w:rsidRP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</w:t>
      </w:r>
    </w:p>
    <w:p w14:paraId="16AA257F" w14:textId="0A1E17D3" w:rsidR="006D5BA6" w:rsidRPr="00AC0796" w:rsidRDefault="006D5BA6" w:rsidP="00AC0796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 w:rsidRPr="003A448B">
        <w:rPr>
          <w:rFonts w:ascii="Times New Roman" w:hAnsi="Times New Roman" w:cs="Times New Roman"/>
          <w:sz w:val="20"/>
          <w:szCs w:val="20"/>
          <w:lang w:val="uk-UA"/>
        </w:rPr>
        <w:t xml:space="preserve">Про оприлюднення </w:t>
      </w:r>
      <w:r w:rsidR="00AC0796" w:rsidRPr="00AC0796">
        <w:rPr>
          <w:rFonts w:ascii="Times New Roman" w:hAnsi="Times New Roman" w:cs="Times New Roman"/>
          <w:sz w:val="20"/>
          <w:szCs w:val="20"/>
          <w:lang w:val="uk-UA"/>
        </w:rPr>
        <w:t>нової редакції тендерної документації додатково до початкової редакції тендерної документації</w:t>
      </w:r>
      <w:r w:rsidR="00AC0796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="00AC0796" w:rsidRPr="00AC0796">
        <w:rPr>
          <w:rFonts w:ascii="Times New Roman" w:hAnsi="Times New Roman" w:cs="Times New Roman"/>
          <w:sz w:val="20"/>
          <w:szCs w:val="20"/>
          <w:lang w:val="uk-UA"/>
        </w:rPr>
        <w:t>перелік змін, що вносяться</w:t>
      </w:r>
      <w:r w:rsidR="00AC079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C0796" w:rsidRPr="00AC0796">
        <w:rPr>
          <w:rFonts w:ascii="Times New Roman" w:hAnsi="Times New Roman" w:cs="Times New Roman"/>
          <w:sz w:val="20"/>
          <w:szCs w:val="20"/>
          <w:lang w:val="uk-UA"/>
        </w:rPr>
        <w:t>в окремому документі</w:t>
      </w:r>
      <w:r w:rsidR="00AC079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C0796">
        <w:rPr>
          <w:rFonts w:ascii="Times New Roman" w:hAnsi="Times New Roman" w:cs="Times New Roman"/>
          <w:sz w:val="20"/>
          <w:szCs w:val="20"/>
          <w:lang w:val="uk-UA"/>
        </w:rPr>
        <w:t>відповідно до вимог Закону України «Про публічні закупівлі» (</w:t>
      </w:r>
      <w:r w:rsidRPr="00AC0796">
        <w:rPr>
          <w:rFonts w:ascii="Times New Roman" w:hAnsi="Times New Roman" w:cs="Times New Roman"/>
          <w:i/>
          <w:iCs/>
          <w:sz w:val="20"/>
          <w:szCs w:val="20"/>
          <w:lang w:val="uk-UA"/>
        </w:rPr>
        <w:t>далі</w:t>
      </w:r>
      <w:r w:rsidRPr="00AC0796">
        <w:rPr>
          <w:rFonts w:ascii="Times New Roman" w:hAnsi="Times New Roman" w:cs="Times New Roman"/>
          <w:sz w:val="20"/>
          <w:szCs w:val="20"/>
          <w:lang w:val="uk-UA"/>
        </w:rPr>
        <w:t xml:space="preserve"> — Закон) </w:t>
      </w:r>
      <w:r w:rsidR="00512E21">
        <w:rPr>
          <w:rFonts w:ascii="Times New Roman" w:hAnsi="Times New Roman" w:cs="Times New Roman"/>
          <w:sz w:val="20"/>
          <w:szCs w:val="20"/>
          <w:lang w:val="uk-UA"/>
        </w:rPr>
        <w:t>з урахуванням</w:t>
      </w:r>
      <w:r w:rsidRPr="00AC079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C0796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Pr="00AC0796">
        <w:rPr>
          <w:rFonts w:ascii="Times New Roman" w:hAnsi="Times New Roman" w:cs="Times New Roman"/>
          <w:sz w:val="20"/>
          <w:szCs w:val="20"/>
          <w:lang w:val="uk-UA"/>
        </w:rPr>
        <w:t xml:space="preserve"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</w:t>
      </w:r>
      <w:r w:rsidR="00512E21">
        <w:rPr>
          <w:rFonts w:ascii="Times New Roman" w:hAnsi="Times New Roman" w:cs="Times New Roman"/>
          <w:sz w:val="20"/>
          <w:szCs w:val="20"/>
          <w:lang w:val="uk-UA"/>
        </w:rPr>
        <w:t xml:space="preserve">(зі змінами) </w:t>
      </w:r>
      <w:r w:rsidRPr="00AC0796">
        <w:rPr>
          <w:rFonts w:ascii="Times New Roman" w:hAnsi="Times New Roman" w:cs="Times New Roman"/>
          <w:sz w:val="20"/>
          <w:szCs w:val="20"/>
          <w:lang w:val="uk-UA"/>
        </w:rPr>
        <w:t>(далі – Особливості).</w:t>
      </w:r>
    </w:p>
    <w:p w14:paraId="30804742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Під час розгляду першого питання порядку денного:</w:t>
      </w:r>
    </w:p>
    <w:p w14:paraId="443A81C6" w14:textId="77777777" w:rsidR="006D5BA6" w:rsidRDefault="006D5BA6" w:rsidP="006D5BA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3AAA623" w14:textId="367A00D2" w:rsidR="006D5BA6" w:rsidRDefault="00AC0796" w:rsidP="006D5BA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Згідно з абзацом 3 пункту 51 Особливостей з</w:t>
      </w:r>
      <w:r w:rsidRPr="00AC0796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017E4C37" w14:textId="653E77E0" w:rsidR="00AC0796" w:rsidRDefault="00AC0796" w:rsidP="006D5BA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14283555" w14:textId="77777777" w:rsidR="00AC0796" w:rsidRDefault="00AC0796" w:rsidP="00AC079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C0796">
        <w:rPr>
          <w:rFonts w:ascii="Times New Roman" w:hAnsi="Times New Roman" w:cs="Times New Roman"/>
          <w:sz w:val="20"/>
          <w:szCs w:val="20"/>
          <w:lang w:val="uk-UA"/>
        </w:rPr>
        <w:t xml:space="preserve">Виникла необхідність внесення змін до </w:t>
      </w:r>
      <w:r>
        <w:rPr>
          <w:rFonts w:ascii="Times New Roman" w:hAnsi="Times New Roman" w:cs="Times New Roman"/>
          <w:sz w:val="20"/>
          <w:szCs w:val="20"/>
          <w:lang w:val="uk-UA"/>
        </w:rPr>
        <w:t>тендерної документації</w:t>
      </w:r>
      <w:r w:rsidRPr="00AC0796">
        <w:rPr>
          <w:rFonts w:ascii="Times New Roman" w:hAnsi="Times New Roman" w:cs="Times New Roman"/>
          <w:sz w:val="20"/>
          <w:szCs w:val="20"/>
          <w:lang w:val="uk-UA"/>
        </w:rPr>
        <w:t xml:space="preserve"> в частині</w:t>
      </w:r>
      <w:r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14:paraId="1D84A85C" w14:textId="6C235B17" w:rsidR="00762E21" w:rsidRPr="00762E21" w:rsidRDefault="00762E21" w:rsidP="00AC07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Пункт 1 в додатку 1 до тендерної документації викласти в такій редакції: </w:t>
      </w:r>
      <w:bookmarkStart w:id="0" w:name="_Hlk156221073"/>
      <w:bookmarkStart w:id="1" w:name="_Hlk154613674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На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підтвердження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фінансової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спроможності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учасник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надає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фінансову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звітність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за</w:t>
      </w:r>
      <w:r w:rsidRPr="00762E21">
        <w:rPr>
          <w:rFonts w:ascii="Times New Roman" w:eastAsia="Times New Roman" w:hAnsi="Times New Roman"/>
          <w:sz w:val="20"/>
          <w:szCs w:val="20"/>
        </w:rPr>
        <w:t> </w:t>
      </w:r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2022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рік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або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за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останній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звітний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період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. Склад та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елементи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фінансової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звітності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Наказу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Міністерства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Фінансів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України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«Про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затвердження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Національного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положення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(стандарту)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бухгалтерського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обл</w:t>
      </w:r>
      <w:proofErr w:type="gram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іку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1 «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Загальні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вимоги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до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фінансової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звітності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»» № 73 </w:t>
      </w:r>
      <w:proofErr w:type="spellStart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від</w:t>
      </w:r>
      <w:proofErr w:type="spellEnd"/>
      <w:r w:rsidRPr="004143A0">
        <w:rPr>
          <w:rFonts w:ascii="Times New Roman" w:eastAsia="Times New Roman" w:hAnsi="Times New Roman"/>
          <w:sz w:val="20"/>
          <w:szCs w:val="20"/>
          <w:lang w:val="ru-RU"/>
        </w:rPr>
        <w:t xml:space="preserve"> 07.02.2013</w:t>
      </w:r>
      <w:bookmarkEnd w:id="0"/>
      <w:r w:rsidRPr="004143A0">
        <w:rPr>
          <w:rFonts w:ascii="Times New Roman" w:eastAsia="Times New Roman" w:hAnsi="Times New Roman"/>
          <w:sz w:val="20"/>
          <w:szCs w:val="20"/>
          <w:lang w:val="ru-RU"/>
        </w:rPr>
        <w:t>.</w:t>
      </w:r>
      <w:bookmarkEnd w:id="1"/>
    </w:p>
    <w:p w14:paraId="094D5D9B" w14:textId="6351E5AD" w:rsidR="00762E21" w:rsidRPr="00762E21" w:rsidRDefault="00762E21" w:rsidP="00C773CE">
      <w:pPr>
        <w:pStyle w:val="1"/>
        <w:widowControl w:val="0"/>
        <w:numPr>
          <w:ilvl w:val="0"/>
          <w:numId w:val="8"/>
        </w:numPr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eastAsia="Times New Roman" w:hAnsi="Times New Roman"/>
          <w:sz w:val="20"/>
          <w:szCs w:val="20"/>
          <w:lang w:val="uk-UA"/>
        </w:rPr>
        <w:t xml:space="preserve">Додаток 2 до тендерної документації добавити </w:t>
      </w:r>
      <w:proofErr w:type="spellStart"/>
      <w:r>
        <w:rPr>
          <w:rFonts w:ascii="Times New Roman" w:eastAsia="Times New Roman" w:hAnsi="Times New Roman"/>
          <w:sz w:val="20"/>
          <w:szCs w:val="20"/>
          <w:lang w:val="uk-UA"/>
        </w:rPr>
        <w:t>слідуючим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/>
        </w:rPr>
        <w:t xml:space="preserve"> текстом: </w:t>
      </w:r>
      <w:bookmarkStart w:id="2" w:name="_Hlk152253726"/>
      <w:bookmarkStart w:id="3" w:name="_Hlk152252329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Єдиним критерієм оцінки тендерних пропозицій на дану закупівлю є ціна. Питома вага критерію оцінки (ціна) – 100%.</w:t>
      </w:r>
    </w:p>
    <w:p w14:paraId="780CBF66" w14:textId="77777777" w:rsidR="00762E21" w:rsidRPr="00762E21" w:rsidRDefault="00762E21" w:rsidP="00762E21">
      <w:pPr>
        <w:pStyle w:val="1"/>
        <w:widowControl w:val="0"/>
        <w:spacing w:line="240" w:lineRule="auto"/>
        <w:ind w:left="34" w:right="1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bookmarkStart w:id="4" w:name="_Hlk154615037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З метою запобігання необґрунтованого заниження (демпінгу) ціни пропозиції учасниками, Замовник задля захисту свого об’єму споживання електричної енергії застосовує розрахунок ціни тендерної пропозиції, який наведений нижче:</w:t>
      </w:r>
    </w:p>
    <w:p w14:paraId="1C17AB53" w14:textId="77777777" w:rsidR="00762E21" w:rsidRPr="00762E21" w:rsidRDefault="00762E21" w:rsidP="00762E21">
      <w:pPr>
        <w:pStyle w:val="1"/>
        <w:widowControl w:val="0"/>
        <w:spacing w:line="240" w:lineRule="auto"/>
        <w:ind w:left="34" w:right="1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 xml:space="preserve">Р = </w:t>
      </w:r>
      <w:proofErr w:type="spellStart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Nплан</w:t>
      </w:r>
      <w:proofErr w:type="spellEnd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. * (</w:t>
      </w:r>
      <w:proofErr w:type="spellStart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Цпрогн.ел</w:t>
      </w:r>
      <w:proofErr w:type="spellEnd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 xml:space="preserve">. + М + </w:t>
      </w:r>
      <w:proofErr w:type="spellStart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Тпер</w:t>
      </w:r>
      <w:proofErr w:type="spellEnd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 xml:space="preserve">.) * 1,2, </w:t>
      </w:r>
      <w:proofErr w:type="spellStart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грн</w:t>
      </w:r>
      <w:proofErr w:type="spellEnd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 xml:space="preserve"> з ПДВ де,</w:t>
      </w:r>
    </w:p>
    <w:p w14:paraId="53144360" w14:textId="77777777" w:rsidR="00762E21" w:rsidRPr="00762E21" w:rsidRDefault="00762E21" w:rsidP="00762E21">
      <w:pPr>
        <w:pStyle w:val="1"/>
        <w:widowControl w:val="0"/>
        <w:spacing w:line="240" w:lineRule="auto"/>
        <w:ind w:left="34" w:right="1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Р - загальна сума тендерної пропозиції, (загальна вартість тендерної пропозиції) у гривні (UAH);</w:t>
      </w:r>
    </w:p>
    <w:p w14:paraId="4B69AADE" w14:textId="77777777" w:rsidR="00762E21" w:rsidRPr="00762E21" w:rsidRDefault="00762E21" w:rsidP="00762E21">
      <w:pPr>
        <w:pStyle w:val="1"/>
        <w:widowControl w:val="0"/>
        <w:spacing w:line="240" w:lineRule="auto"/>
        <w:ind w:left="34" w:right="1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proofErr w:type="spellStart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Nплан</w:t>
      </w:r>
      <w:proofErr w:type="spellEnd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 xml:space="preserve">. - плановий обсяг закупівлі електричної енергії для об’єктів Споживача – </w:t>
      </w:r>
      <w:r w:rsidRPr="00762E21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131 </w:t>
      </w:r>
      <w:r w:rsidRPr="00762E21">
        <w:rPr>
          <w:rFonts w:ascii="Times New Roman" w:hAnsi="Times New Roman"/>
          <w:color w:val="000000" w:themeColor="text1"/>
          <w:sz w:val="20"/>
          <w:szCs w:val="20"/>
        </w:rPr>
        <w:t>000</w:t>
      </w:r>
      <w:r w:rsidRPr="00762E21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</w:t>
      </w:r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кВт*год.</w:t>
      </w:r>
    </w:p>
    <w:p w14:paraId="2FCCDD31" w14:textId="77777777" w:rsidR="00762E21" w:rsidRPr="00762E21" w:rsidRDefault="00762E21" w:rsidP="00762E21">
      <w:pPr>
        <w:pStyle w:val="1"/>
        <w:widowControl w:val="0"/>
        <w:spacing w:line="240" w:lineRule="auto"/>
        <w:ind w:left="34" w:right="1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proofErr w:type="spellStart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Цпрогн.ел</w:t>
      </w:r>
      <w:proofErr w:type="spellEnd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. - прогнозована ціна електричної енергії, яка для даної закупівлі становить – 4,70653 грн. за 1 кВт*</w:t>
      </w:r>
      <w:proofErr w:type="spellStart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год</w:t>
      </w:r>
      <w:proofErr w:type="spellEnd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 xml:space="preserve"> без ПДВ;</w:t>
      </w:r>
    </w:p>
    <w:p w14:paraId="614E72C5" w14:textId="77777777" w:rsidR="00762E21" w:rsidRPr="00762E21" w:rsidRDefault="00762E21" w:rsidP="00762E21">
      <w:pPr>
        <w:pStyle w:val="1"/>
        <w:widowControl w:val="0"/>
        <w:spacing w:line="240" w:lineRule="auto"/>
        <w:ind w:left="34" w:right="1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М - маржа (вартість послуг Учасника) запропонована Учасником, грн. без ПДВ;</w:t>
      </w:r>
    </w:p>
    <w:p w14:paraId="1995E4D5" w14:textId="77777777" w:rsidR="00762E21" w:rsidRPr="00762E21" w:rsidRDefault="00762E21" w:rsidP="00762E21">
      <w:pPr>
        <w:pStyle w:val="1"/>
        <w:widowControl w:val="0"/>
        <w:spacing w:line="240" w:lineRule="auto"/>
        <w:ind w:left="34" w:right="1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 xml:space="preserve">Примітка: Маржа не може бути величиною від’ємною. З метою запобігання демпінгу серед Учасників, Замовник буде відхиляти пропозиції Учасників, в яких величина маржі буде від’ємна в тому числі за результатами аукціону. Учасник надає гарантійний лист, щодо порядку формування своєї цінової пропозиції згідно з вищенаведеної методики (вказати пункт тендерної документації) та має </w:t>
      </w:r>
      <w:proofErr w:type="spellStart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прогарантувати</w:t>
      </w:r>
      <w:proofErr w:type="spellEnd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 xml:space="preserve"> про те, що маржа, у тому числі маржа за результатами аукціону не буде величиною від’ємною. Учасник надає гарантійний лист, що його цінова пропозиція, у тому числі за результатами аукціону не буде містити від’ємну маржу. У разі, якщо маржа за результатами аукціону буде від’ємною, це буде вважатися відмовою від підписання договору про закупівлю - про що також надається лист погодження.</w:t>
      </w:r>
    </w:p>
    <w:p w14:paraId="26787D1F" w14:textId="77777777" w:rsidR="00762E21" w:rsidRPr="00762E21" w:rsidRDefault="00762E21" w:rsidP="00762E21">
      <w:pPr>
        <w:pStyle w:val="1"/>
        <w:widowControl w:val="0"/>
        <w:spacing w:line="240" w:lineRule="auto"/>
        <w:ind w:left="34" w:right="1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 xml:space="preserve">Під час проведення аукціону Учасник понижує ціну тільки за рахунок зменшення М – маржі (вартості </w:t>
      </w:r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lastRenderedPageBreak/>
        <w:t>послуг Учасника).</w:t>
      </w:r>
    </w:p>
    <w:p w14:paraId="236A5FFE" w14:textId="34A50587" w:rsidR="00762E21" w:rsidRDefault="00762E21" w:rsidP="00762E21">
      <w:pPr>
        <w:pStyle w:val="1"/>
        <w:spacing w:line="240" w:lineRule="auto"/>
        <w:ind w:left="34" w:right="1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proofErr w:type="spellStart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Тпер</w:t>
      </w:r>
      <w:proofErr w:type="spellEnd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 xml:space="preserve">. - тариф на послуги з передачі електричної енергії, затверджений регулятором для оператора системи передачі у встановленому порядку відповідно до постанови НКРЕКП від 09.12.2023 р. № 2322 – 0,52857 грн. за 1 кВт*год. без ПДВ </w:t>
      </w:r>
      <w:proofErr w:type="spellStart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Тпер</w:t>
      </w:r>
      <w:proofErr w:type="spellEnd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. Є регульованою складовою ціни Договору;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1,2 – математичне вираження ставки податку на додану вартість (ПДВ-20 %)</w:t>
      </w:r>
      <w:bookmarkEnd w:id="2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.</w:t>
      </w:r>
      <w:bookmarkEnd w:id="3"/>
      <w:bookmarkEnd w:id="4"/>
    </w:p>
    <w:p w14:paraId="39D1D3AD" w14:textId="77777777" w:rsidR="00762E21" w:rsidRPr="00762E21" w:rsidRDefault="00762E21" w:rsidP="00762E21">
      <w:pPr>
        <w:pStyle w:val="1"/>
        <w:widowControl w:val="0"/>
        <w:spacing w:line="240" w:lineRule="auto"/>
        <w:ind w:left="34" w:right="1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</w:p>
    <w:p w14:paraId="6CD1BD7E" w14:textId="0BE7AD3F" w:rsidR="00926DEC" w:rsidRDefault="00762E21" w:rsidP="006D5BA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Додатково перелік змін викладений </w:t>
      </w:r>
      <w:r w:rsidR="00926DE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у Додатку № 1.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Нова редакція тендерної документації викладена у </w:t>
      </w:r>
      <w:r w:rsidR="00926DE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Додатку № 2. Внесення змін до тендерної документації планується </w:t>
      </w:r>
      <w:r w:rsidR="0045009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16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січня 2024 року</w:t>
      </w:r>
      <w:r w:rsidR="00926DEC" w:rsidRPr="00926DEC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,</w:t>
      </w:r>
      <w:r w:rsidR="00926DE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водночас кінцевий строк подання </w:t>
      </w:r>
      <w:r w:rsidR="00926DEC" w:rsidRPr="00AC0796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тендерних пропозицій</w:t>
      </w:r>
      <w:r w:rsidR="00926DE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до</w:t>
      </w:r>
      <w:r w:rsidR="0045009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24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.01.2024</w:t>
      </w:r>
      <w:r w:rsidR="00926DE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. Відповідно</w:t>
      </w:r>
      <w:r w:rsidR="00926DEC" w:rsidRPr="00926DEC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="00926DEC" w:rsidRPr="00762E2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до кінцевого строку подання тендер</w:t>
      </w:r>
      <w:r w:rsidR="0045009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них пропозицій залишається більше</w:t>
      </w:r>
      <w:r w:rsidR="00926DEC" w:rsidRPr="00762E2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чотирьох днів</w:t>
      </w:r>
      <w:r w:rsidR="00512E21" w:rsidRPr="00762E2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,</w:t>
      </w:r>
      <w:r w:rsidR="00926DEC" w:rsidRPr="00762E2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тому стро</w:t>
      </w:r>
      <w:r w:rsidR="0045009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к подання тендерних пропозицій немає потреби продовжувати.</w:t>
      </w:r>
    </w:p>
    <w:p w14:paraId="3B138181" w14:textId="77777777" w:rsidR="00926DEC" w:rsidRDefault="00926DEC" w:rsidP="006D5BA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7DAA6BE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Під час розгляду другого питання порядку денного:</w:t>
      </w:r>
    </w:p>
    <w:p w14:paraId="0A3B8FEF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27CC3A18" w14:textId="38E3AF8E" w:rsidR="006D5BA6" w:rsidRPr="007779BA" w:rsidRDefault="00926DEC" w:rsidP="006D5BA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Відповідно до абзацу 4 пункту 51 Особливостей з</w:t>
      </w:r>
      <w:r w:rsidRPr="00926DEC">
        <w:rPr>
          <w:rFonts w:ascii="Times New Roman" w:hAnsi="Times New Roman" w:cs="Times New Roman"/>
          <w:sz w:val="20"/>
          <w:szCs w:val="20"/>
          <w:lang w:val="uk-UA"/>
        </w:rPr>
        <w:t xml:space="preserve">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926DEC">
        <w:rPr>
          <w:rFonts w:ascii="Times New Roman" w:hAnsi="Times New Roman" w:cs="Times New Roman"/>
          <w:sz w:val="20"/>
          <w:szCs w:val="20"/>
          <w:lang w:val="uk-UA"/>
        </w:rPr>
        <w:t>машинозчитувальному</w:t>
      </w:r>
      <w:proofErr w:type="spellEnd"/>
      <w:r w:rsidRPr="00926DEC">
        <w:rPr>
          <w:rFonts w:ascii="Times New Roman" w:hAnsi="Times New Roman" w:cs="Times New Roman"/>
          <w:sz w:val="20"/>
          <w:szCs w:val="20"/>
          <w:lang w:val="uk-UA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14:paraId="60DD6CBB" w14:textId="11D29D93" w:rsidR="006D5BA6" w:rsidRDefault="006D5BA6" w:rsidP="006D5BA6">
      <w:pPr>
        <w:pStyle w:val="Standard"/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</w:p>
    <w:p w14:paraId="57F3D2B6" w14:textId="1B435E20" w:rsidR="00926DEC" w:rsidRDefault="00926DEC" w:rsidP="006D5BA6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На виконання наведеної вище норми необхідно оприлюднити в електронній системі закупівель </w:t>
      </w:r>
      <w:r w:rsidRPr="00926DEC">
        <w:rPr>
          <w:rFonts w:ascii="Times New Roman" w:hAnsi="Times New Roman" w:cs="Times New Roman"/>
          <w:sz w:val="20"/>
          <w:szCs w:val="20"/>
          <w:lang w:val="uk-UA"/>
        </w:rPr>
        <w:t>протягом одного дня з дати прийняття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даного</w:t>
      </w:r>
      <w:r w:rsidRPr="00926DEC">
        <w:rPr>
          <w:rFonts w:ascii="Times New Roman" w:hAnsi="Times New Roman" w:cs="Times New Roman"/>
          <w:sz w:val="20"/>
          <w:szCs w:val="20"/>
          <w:lang w:val="uk-UA"/>
        </w:rPr>
        <w:t xml:space="preserve"> рішення</w:t>
      </w:r>
      <w:r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14:paraId="027EBBE2" w14:textId="2F53368B" w:rsidR="00926DEC" w:rsidRDefault="00926DEC" w:rsidP="00926DEC">
      <w:pPr>
        <w:pStyle w:val="Standard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нову редакцію тендерної документації з усіма додатками (Додаток № </w:t>
      </w:r>
      <w:r w:rsidR="003A148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2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);</w:t>
      </w:r>
    </w:p>
    <w:p w14:paraId="56B9DCC2" w14:textId="7CEE1C88" w:rsidR="00926DEC" w:rsidRDefault="00926DEC" w:rsidP="00926DEC">
      <w:pPr>
        <w:pStyle w:val="Standard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перелік змін, що вносяться (Додаток № </w:t>
      </w:r>
      <w:r w:rsidR="003A148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1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).</w:t>
      </w:r>
    </w:p>
    <w:p w14:paraId="302B5BE3" w14:textId="77777777" w:rsidR="00926DEC" w:rsidRPr="007779BA" w:rsidRDefault="00926DEC" w:rsidP="006D5BA6">
      <w:pPr>
        <w:pStyle w:val="Standard"/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</w:p>
    <w:p w14:paraId="29A11CC0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00476">
        <w:rPr>
          <w:rFonts w:ascii="Times New Roman" w:hAnsi="Times New Roman"/>
          <w:b/>
          <w:sz w:val="20"/>
          <w:szCs w:val="20"/>
          <w:lang w:val="uk-UA"/>
        </w:rPr>
        <w:t>ВИРІШИЛА:</w:t>
      </w:r>
    </w:p>
    <w:p w14:paraId="24D8AAEC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5B17891A" w14:textId="756367D3" w:rsidR="006D5BA6" w:rsidRPr="003A1483" w:rsidRDefault="006D5BA6" w:rsidP="003A1483">
      <w:pPr>
        <w:pStyle w:val="a3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 w:rsidRPr="007779BA">
        <w:rPr>
          <w:rFonts w:ascii="Times New Roman" w:hAnsi="Times New Roman" w:cs="Times New Roman"/>
          <w:sz w:val="20"/>
          <w:szCs w:val="20"/>
          <w:lang w:val="uk-UA"/>
        </w:rPr>
        <w:t xml:space="preserve">Затвердити </w:t>
      </w:r>
      <w:r w:rsidR="00926DE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нову редакцію тендерної документації на закупівлю </w:t>
      </w:r>
      <w:r w:rsidR="003A148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Електрична </w:t>
      </w:r>
      <w:r w:rsidR="003A1483" w:rsidRP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енергія (ДК 021:2015 09310000-5  Електрична енергія, № </w:t>
      </w:r>
      <w:r w:rsidR="003A1483" w:rsidRPr="00DD044B">
        <w:rPr>
          <w:rFonts w:ascii="Times New Roman" w:hAnsi="Times New Roman"/>
          <w:sz w:val="20"/>
          <w:szCs w:val="20"/>
          <w:shd w:val="clear" w:color="auto" w:fill="FFFFFF"/>
        </w:rPr>
        <w:t>UA</w:t>
      </w:r>
      <w:r w:rsidR="003A1483" w:rsidRP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-2024-01-11-009077-а.</w:t>
      </w:r>
      <w:r w:rsidR="003A148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т</w:t>
      </w:r>
      <w:r w:rsidR="00926DEC" w:rsidRPr="003A148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а перелік змін, що вносяться в окремому документі</w:t>
      </w:r>
      <w:r w:rsidR="00E10D41" w:rsidRPr="003A148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</w:t>
      </w:r>
    </w:p>
    <w:p w14:paraId="3DF3C28A" w14:textId="77777777" w:rsidR="00E10D41" w:rsidRPr="007779BA" w:rsidRDefault="00E10D41" w:rsidP="006D5BA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EE03AB6" w14:textId="5DD0649A" w:rsidR="00E10D41" w:rsidRPr="00182F45" w:rsidRDefault="006D5BA6" w:rsidP="00182F45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 w:rsidRPr="007779BA">
        <w:rPr>
          <w:rFonts w:ascii="Times New Roman" w:hAnsi="Times New Roman" w:cs="Times New Roman"/>
          <w:sz w:val="20"/>
          <w:szCs w:val="20"/>
          <w:lang w:val="uk-UA"/>
        </w:rPr>
        <w:t xml:space="preserve">Оприлюднити </w:t>
      </w:r>
      <w:r w:rsidR="00926DE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нову редакцію тендерної документації на </w:t>
      </w:r>
      <w:r w:rsidR="00182F4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Електрична </w:t>
      </w:r>
      <w:r w:rsidR="00182F45" w:rsidRP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енергія (ДК 021:2015 09310000-5  Електрична енергія, № </w:t>
      </w:r>
      <w:r w:rsidR="00182F45" w:rsidRPr="00DD044B">
        <w:rPr>
          <w:rFonts w:ascii="Times New Roman" w:hAnsi="Times New Roman"/>
          <w:sz w:val="20"/>
          <w:szCs w:val="20"/>
          <w:shd w:val="clear" w:color="auto" w:fill="FFFFFF"/>
        </w:rPr>
        <w:t>UA</w:t>
      </w:r>
      <w:r w:rsidR="00182F45" w:rsidRP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-2024-01-11-009077-а</w:t>
      </w:r>
      <w:r w:rsidR="00182F4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="00926DEC" w:rsidRPr="00182F4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та перелік змін, що вносяться в окремому документі </w:t>
      </w:r>
      <w:r w:rsidR="00926DEC" w:rsidRPr="00182F45">
        <w:rPr>
          <w:rFonts w:ascii="Times New Roman" w:hAnsi="Times New Roman" w:cs="Times New Roman"/>
          <w:sz w:val="20"/>
          <w:szCs w:val="20"/>
          <w:lang w:val="uk-UA"/>
        </w:rPr>
        <w:t>протягом одного дня з дати прийняття даного рішення</w:t>
      </w:r>
      <w:r w:rsidR="00E10D41" w:rsidRPr="00182F4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</w:t>
      </w:r>
    </w:p>
    <w:p w14:paraId="0B393E66" w14:textId="77777777" w:rsidR="00E10D41" w:rsidRPr="007779BA" w:rsidRDefault="00E10D41" w:rsidP="00E10D41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48556A5" w14:textId="77777777" w:rsidR="006D5BA6" w:rsidRPr="00E05A49" w:rsidRDefault="006D5BA6" w:rsidP="006D5BA6">
      <w:pPr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20E02E8" w14:textId="77777777" w:rsidR="00182F45" w:rsidRPr="00F01D94" w:rsidRDefault="00182F45" w:rsidP="00182F45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Провідний фахівець з публічних закупівель                                                                Тетяна ЗАЄЦЬ</w:t>
      </w:r>
    </w:p>
    <w:p w14:paraId="3B0C913D" w14:textId="77777777" w:rsidR="00E10D41" w:rsidRDefault="00E10D41" w:rsidP="00E10D41">
      <w:pPr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8F68D2F" w14:textId="77777777" w:rsidR="00E10D41" w:rsidRDefault="00E10D41" w:rsidP="00E10D41">
      <w:pPr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2B3E7F3" w14:textId="77777777" w:rsidR="00E10D41" w:rsidRDefault="00E10D41" w:rsidP="00E10D41">
      <w:pPr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7A68A39" w14:textId="5803C860" w:rsidR="00E10D41" w:rsidRDefault="00E10D41" w:rsidP="00E10D41">
      <w:pPr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3A3423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Додатки:</w:t>
      </w:r>
    </w:p>
    <w:p w14:paraId="242AEB89" w14:textId="77777777" w:rsidR="00E10D41" w:rsidRPr="003A3423" w:rsidRDefault="00E10D41" w:rsidP="00E10D41">
      <w:pPr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B118E56" w14:textId="76B50958" w:rsidR="00E10D41" w:rsidRDefault="00E10D41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Додаток № 1 в 1 примірнику на </w:t>
      </w:r>
      <w:r w:rsidR="00182F45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1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аркушах;</w:t>
      </w:r>
    </w:p>
    <w:p w14:paraId="6B8E6D14" w14:textId="2B04963A" w:rsidR="00E10D41" w:rsidRDefault="00E10D41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Додаток № 2 в 1 примірнику на </w:t>
      </w:r>
      <w:r w:rsidR="004C737D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55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аркушах</w:t>
      </w:r>
      <w:r w:rsidR="00926DE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.</w:t>
      </w:r>
    </w:p>
    <w:p w14:paraId="15A08460" w14:textId="4A032420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58DC3E0" w14:textId="5AA069ED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70C852F" w14:textId="165E3EFC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8A2F408" w14:textId="5E78B05E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71301B4" w14:textId="0F354463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98D5652" w14:textId="0E353ECA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BB68B4C" w14:textId="150ABA21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7933D75" w14:textId="46A9978E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3280B8F" w14:textId="62505925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F78C55F" w14:textId="17389AB1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6D3DE18" w14:textId="3BE569DA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312B298" w14:textId="77777777" w:rsidR="00AA100F" w:rsidRDefault="00AA100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53AD8EB" w14:textId="77777777" w:rsidR="00AA100F" w:rsidRDefault="00AA100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DA06E16" w14:textId="77777777" w:rsidR="00AA100F" w:rsidRDefault="00AA100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EAC1D1B" w14:textId="77777777" w:rsidR="00AA100F" w:rsidRDefault="00AA100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517FE96" w14:textId="77777777" w:rsidR="008145FF" w:rsidRDefault="008145FF" w:rsidP="008145FF">
      <w:pP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9DA80A3" w14:textId="348EB5FB" w:rsidR="00926DEC" w:rsidRPr="008145FF" w:rsidRDefault="00926DEC" w:rsidP="008145FF">
      <w:pPr>
        <w:jc w:val="right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926DEC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lastRenderedPageBreak/>
        <w:t>Додаток № 1</w:t>
      </w:r>
    </w:p>
    <w:tbl>
      <w:tblPr>
        <w:tblStyle w:val="a5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3"/>
        <w:gridCol w:w="6804"/>
      </w:tblGrid>
      <w:tr w:rsidR="008145FF" w:rsidRPr="008145FF" w14:paraId="7E47BAB5" w14:textId="77777777" w:rsidTr="000C3357">
        <w:tc>
          <w:tcPr>
            <w:tcW w:w="4253" w:type="dxa"/>
          </w:tcPr>
          <w:p w14:paraId="2ED1ED1A" w14:textId="77777777" w:rsidR="008145FF" w:rsidRPr="008145FF" w:rsidRDefault="008145FF" w:rsidP="000C3357">
            <w:pPr>
              <w:ind w:left="34" w:firstLine="14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45F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Було</w:t>
            </w:r>
          </w:p>
        </w:tc>
        <w:tc>
          <w:tcPr>
            <w:tcW w:w="6804" w:type="dxa"/>
            <w:shd w:val="clear" w:color="auto" w:fill="auto"/>
          </w:tcPr>
          <w:p w14:paraId="4681D7FC" w14:textId="77777777" w:rsidR="008145FF" w:rsidRPr="008145FF" w:rsidRDefault="008145FF" w:rsidP="000C3357">
            <w:pPr>
              <w:ind w:firstLine="17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145F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Стало</w:t>
            </w:r>
          </w:p>
        </w:tc>
      </w:tr>
      <w:tr w:rsidR="008145FF" w:rsidRPr="008145FF" w14:paraId="6278D692" w14:textId="77777777" w:rsidTr="000C3357">
        <w:tc>
          <w:tcPr>
            <w:tcW w:w="11057" w:type="dxa"/>
            <w:gridSpan w:val="2"/>
            <w:vAlign w:val="center"/>
          </w:tcPr>
          <w:p w14:paraId="64379612" w14:textId="77777777" w:rsidR="008145FF" w:rsidRPr="008145FF" w:rsidRDefault="008145FF" w:rsidP="000C3357">
            <w:pPr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bookmarkStart w:id="5" w:name="_GoBack"/>
            <w:bookmarkEnd w:id="5"/>
            <w:r w:rsidRPr="008145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ДОДАТОК 1</w:t>
            </w:r>
          </w:p>
          <w:p w14:paraId="43850E0D" w14:textId="77777777" w:rsidR="008145FF" w:rsidRPr="008145FF" w:rsidRDefault="008145FF" w:rsidP="000C3357">
            <w:pPr>
              <w:ind w:firstLine="17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145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 тендерної документації</w:t>
            </w:r>
          </w:p>
        </w:tc>
      </w:tr>
      <w:tr w:rsidR="008145FF" w:rsidRPr="004143A0" w14:paraId="208807F9" w14:textId="77777777" w:rsidTr="000C3357">
        <w:tc>
          <w:tcPr>
            <w:tcW w:w="4253" w:type="dxa"/>
          </w:tcPr>
          <w:p w14:paraId="50CC94AD" w14:textId="77777777" w:rsidR="008145FF" w:rsidRPr="008145FF" w:rsidRDefault="008145FF" w:rsidP="000C3357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На </w:t>
            </w:r>
            <w:proofErr w:type="spellStart"/>
            <w:proofErr w:type="gram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ідтвердження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фінансової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спроможності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учасник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надає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фінансову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звітність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останній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звітний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період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. Склад та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елементи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фінансової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звітності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Наказу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Міністерства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Фінансів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України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«Про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затвердження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Національного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положення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(стандарту)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бухгалтерського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обл</w:t>
            </w:r>
            <w:proofErr w:type="gram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іку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1 «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Загальні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вимоги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фінансової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звітності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»» № 73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від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07.02.2013.</w:t>
            </w:r>
          </w:p>
        </w:tc>
        <w:tc>
          <w:tcPr>
            <w:tcW w:w="6804" w:type="dxa"/>
            <w:shd w:val="clear" w:color="auto" w:fill="auto"/>
          </w:tcPr>
          <w:p w14:paraId="5370916E" w14:textId="77777777" w:rsidR="008145FF" w:rsidRPr="008145FF" w:rsidRDefault="008145FF" w:rsidP="000C335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На </w:t>
            </w:r>
            <w:proofErr w:type="spellStart"/>
            <w:proofErr w:type="gram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ідтвердження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фінансової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спроможності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учасник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надає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фінансову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звітність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за</w:t>
            </w:r>
            <w:r w:rsidRPr="008145F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2022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рік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або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останній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звітний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період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. Склад та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елементи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фінансової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звітності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Наказу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Міністерства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Фінансів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України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«Про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затвердження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Національного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положення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(стандарту)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бухгалтерського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обл</w:t>
            </w:r>
            <w:proofErr w:type="gram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іку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1 «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Загальні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вимоги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фінансової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звітності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»» № 73 </w:t>
            </w:r>
            <w:proofErr w:type="spellStart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від</w:t>
            </w:r>
            <w:proofErr w:type="spellEnd"/>
            <w:r w:rsidRPr="004143A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07.02.2013.</w:t>
            </w:r>
          </w:p>
        </w:tc>
      </w:tr>
      <w:tr w:rsidR="008145FF" w:rsidRPr="008145FF" w14:paraId="098E0F99" w14:textId="77777777" w:rsidTr="000C3357">
        <w:trPr>
          <w:trHeight w:val="105"/>
        </w:trPr>
        <w:tc>
          <w:tcPr>
            <w:tcW w:w="11057" w:type="dxa"/>
            <w:gridSpan w:val="2"/>
            <w:vAlign w:val="center"/>
          </w:tcPr>
          <w:p w14:paraId="1DA69B39" w14:textId="77777777" w:rsidR="008145FF" w:rsidRPr="008145FF" w:rsidRDefault="008145FF" w:rsidP="000C3357">
            <w:pPr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45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ДОДАТОК 2</w:t>
            </w:r>
          </w:p>
          <w:p w14:paraId="1B9DA34A" w14:textId="77777777" w:rsidR="008145FF" w:rsidRPr="008145FF" w:rsidRDefault="008145FF" w:rsidP="000C3357">
            <w:pPr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45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 тендерної документації</w:t>
            </w:r>
          </w:p>
        </w:tc>
      </w:tr>
      <w:tr w:rsidR="008145FF" w:rsidRPr="004143A0" w14:paraId="64DD144C" w14:textId="77777777" w:rsidTr="000C3357">
        <w:tc>
          <w:tcPr>
            <w:tcW w:w="4253" w:type="dxa"/>
          </w:tcPr>
          <w:p w14:paraId="29F91F86" w14:textId="77777777" w:rsidR="008145FF" w:rsidRPr="008145FF" w:rsidRDefault="008145FF" w:rsidP="000C3357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43A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Єдиним</w:t>
            </w:r>
            <w:proofErr w:type="spellEnd"/>
            <w:r w:rsidRPr="004143A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критерієм</w:t>
            </w:r>
            <w:proofErr w:type="spellEnd"/>
            <w:r w:rsidRPr="004143A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оцінки</w:t>
            </w:r>
            <w:proofErr w:type="spellEnd"/>
            <w:r w:rsidRPr="004143A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тендерних</w:t>
            </w:r>
            <w:proofErr w:type="spellEnd"/>
            <w:r w:rsidRPr="004143A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пропозицій</w:t>
            </w:r>
            <w:proofErr w:type="spellEnd"/>
            <w:r w:rsidRPr="004143A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4143A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дану</w:t>
            </w:r>
            <w:proofErr w:type="spellEnd"/>
            <w:r w:rsidRPr="004143A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43A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закупівлю</w:t>
            </w:r>
            <w:proofErr w:type="spellEnd"/>
            <w:r w:rsidRPr="004143A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є </w:t>
            </w:r>
            <w:proofErr w:type="spellStart"/>
            <w:r w:rsidRPr="004143A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ці</w:t>
            </w:r>
            <w:proofErr w:type="gramStart"/>
            <w:r w:rsidRPr="004143A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</w:t>
            </w:r>
            <w:proofErr w:type="spellEnd"/>
            <w:proofErr w:type="gramEnd"/>
            <w:r w:rsidRPr="004143A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8145FF">
              <w:rPr>
                <w:rFonts w:ascii="Times New Roman" w:hAnsi="Times New Roman"/>
                <w:b/>
                <w:bCs/>
                <w:sz w:val="22"/>
                <w:szCs w:val="22"/>
              </w:rPr>
              <w:t>Питома</w:t>
            </w:r>
            <w:proofErr w:type="spellEnd"/>
            <w:r w:rsidRPr="008145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145FF">
              <w:rPr>
                <w:rFonts w:ascii="Times New Roman" w:hAnsi="Times New Roman"/>
                <w:b/>
                <w:bCs/>
                <w:sz w:val="22"/>
                <w:szCs w:val="22"/>
              </w:rPr>
              <w:t>вага</w:t>
            </w:r>
            <w:proofErr w:type="spellEnd"/>
            <w:r w:rsidRPr="008145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145FF">
              <w:rPr>
                <w:rFonts w:ascii="Times New Roman" w:hAnsi="Times New Roman"/>
                <w:b/>
                <w:bCs/>
                <w:sz w:val="22"/>
                <w:szCs w:val="22"/>
              </w:rPr>
              <w:t>критерію</w:t>
            </w:r>
            <w:proofErr w:type="spellEnd"/>
            <w:r w:rsidRPr="008145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145FF">
              <w:rPr>
                <w:rFonts w:ascii="Times New Roman" w:hAnsi="Times New Roman"/>
                <w:b/>
                <w:bCs/>
                <w:sz w:val="22"/>
                <w:szCs w:val="22"/>
              </w:rPr>
              <w:t>оцінки</w:t>
            </w:r>
            <w:proofErr w:type="spellEnd"/>
            <w:r w:rsidRPr="008145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8145FF">
              <w:rPr>
                <w:rFonts w:ascii="Times New Roman" w:hAnsi="Times New Roman"/>
                <w:b/>
                <w:bCs/>
                <w:sz w:val="22"/>
                <w:szCs w:val="22"/>
              </w:rPr>
              <w:t>ціна</w:t>
            </w:r>
            <w:proofErr w:type="spellEnd"/>
            <w:r w:rsidRPr="008145FF">
              <w:rPr>
                <w:rFonts w:ascii="Times New Roman" w:hAnsi="Times New Roman"/>
                <w:b/>
                <w:bCs/>
                <w:sz w:val="22"/>
                <w:szCs w:val="22"/>
              </w:rPr>
              <w:t>) – 100%.</w:t>
            </w:r>
          </w:p>
          <w:p w14:paraId="553B2155" w14:textId="77777777" w:rsidR="008145FF" w:rsidRPr="008145FF" w:rsidRDefault="008145FF" w:rsidP="000C3357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14:paraId="587AA8EC" w14:textId="77777777" w:rsidR="008145FF" w:rsidRPr="008145FF" w:rsidRDefault="008145FF" w:rsidP="000C3357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Єдиним критерієм оцінки тендерних пропозицій на дану закупівлю є ціна. Питома вага критерію оцінки (ціна) – 100%.</w:t>
            </w:r>
          </w:p>
          <w:p w14:paraId="74AF46EA" w14:textId="77777777" w:rsidR="008145FF" w:rsidRPr="008145FF" w:rsidRDefault="008145FF" w:rsidP="000C3357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 метою запобігання необґрунтованого заниження (демпінгу) ціни пропозиції учасниками, Замовник задля захисту свого об’єму споживання електричної енергії застосовує розрахунок ціни тендерної пропозиції, який наведений нижче:</w:t>
            </w:r>
          </w:p>
          <w:p w14:paraId="03406F67" w14:textId="77777777" w:rsidR="008145FF" w:rsidRPr="008145FF" w:rsidRDefault="008145FF" w:rsidP="000C3357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Р = </w:t>
            </w:r>
            <w:proofErr w:type="spellStart"/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Nплан</w:t>
            </w:r>
            <w:proofErr w:type="spellEnd"/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. * (</w:t>
            </w:r>
            <w:proofErr w:type="spellStart"/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Цпрогн.ел</w:t>
            </w:r>
            <w:proofErr w:type="spellEnd"/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. + М + </w:t>
            </w:r>
            <w:proofErr w:type="spellStart"/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Тпер</w:t>
            </w:r>
            <w:proofErr w:type="spellEnd"/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.) * 1,2, </w:t>
            </w:r>
            <w:proofErr w:type="spellStart"/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грн</w:t>
            </w:r>
            <w:proofErr w:type="spellEnd"/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з ПДВ де,</w:t>
            </w:r>
          </w:p>
          <w:p w14:paraId="59FE8793" w14:textId="77777777" w:rsidR="008145FF" w:rsidRPr="008145FF" w:rsidRDefault="008145FF" w:rsidP="000C3357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Р - загальна сума тендерної пропозиції, (загальна вартість тендерної пропозиції) у гривні (UAH);</w:t>
            </w:r>
          </w:p>
          <w:p w14:paraId="14A40559" w14:textId="77777777" w:rsidR="008145FF" w:rsidRPr="008145FF" w:rsidRDefault="008145FF" w:rsidP="000C3357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Nплан</w:t>
            </w:r>
            <w:proofErr w:type="spellEnd"/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. - плановий обсяг закупівлі електричної енергії для об’єктів Споживача – </w:t>
            </w:r>
            <w:r w:rsidRPr="008145FF">
              <w:rPr>
                <w:rFonts w:ascii="Times New Roman" w:hAnsi="Times New Roman"/>
                <w:color w:val="000000" w:themeColor="text1"/>
                <w:lang w:val="uk-UA"/>
              </w:rPr>
              <w:t xml:space="preserve">131 </w:t>
            </w:r>
            <w:r w:rsidRPr="008145FF">
              <w:rPr>
                <w:rFonts w:ascii="Times New Roman" w:hAnsi="Times New Roman"/>
                <w:color w:val="000000" w:themeColor="text1"/>
              </w:rPr>
              <w:t>000</w:t>
            </w:r>
            <w:r w:rsidRPr="008145FF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кВт*год.</w:t>
            </w:r>
          </w:p>
          <w:p w14:paraId="736DE3DF" w14:textId="77777777" w:rsidR="008145FF" w:rsidRPr="008145FF" w:rsidRDefault="008145FF" w:rsidP="000C3357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Цпрогн.ел</w:t>
            </w:r>
            <w:proofErr w:type="spellEnd"/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. - прогнозована ціна електричної енергії, яка для даної закупівлі становить – 4,70653 грн. за 1 кВт*</w:t>
            </w:r>
            <w:proofErr w:type="spellStart"/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год</w:t>
            </w:r>
            <w:proofErr w:type="spellEnd"/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без ПДВ;</w:t>
            </w:r>
          </w:p>
          <w:p w14:paraId="59CBD939" w14:textId="77777777" w:rsidR="008145FF" w:rsidRPr="008145FF" w:rsidRDefault="008145FF" w:rsidP="000C3357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 - маржа (вартість послуг Учасника) запропонована Учасником, грн. без ПДВ;</w:t>
            </w:r>
          </w:p>
          <w:p w14:paraId="7C59393E" w14:textId="77777777" w:rsidR="008145FF" w:rsidRPr="008145FF" w:rsidRDefault="008145FF" w:rsidP="000C3357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Примітка: Маржа не може бути величиною від’ємною. З метою запобігання демпінгу серед Учасників, Замовник буде відхиляти пропозиції Учасників, в яких величина маржі буде від’ємна в тому числі за результатами аукціону. Учасник надає гарантійний лист, щодо порядку формування своєї цінової пропозиції згідно з вищенаведеної методики (вказати пункт тендерної документації) та має </w:t>
            </w:r>
            <w:proofErr w:type="spellStart"/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прогарантувати</w:t>
            </w:r>
            <w:proofErr w:type="spellEnd"/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про те, що маржа, у тому числі маржа за результатами аукціону не буде величиною від’ємною. Учасник надає гарантійний лист, що його цінова пропозиція, у тому числі за результатами аукціону не буде містити від’ємну маржу. У разі, якщо маржа за результатами аукціону буде від’ємною, це буде вважатися відмовою від підписання договору про закупівлю - про що також надається лист погодження.</w:t>
            </w:r>
          </w:p>
          <w:p w14:paraId="05F6020D" w14:textId="77777777" w:rsidR="008145FF" w:rsidRPr="008145FF" w:rsidRDefault="008145FF" w:rsidP="000C3357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Під час проведення аукціону Учасник понижує ціну тільки за рахунок зменшення М – маржі (вартості послуг Учасника).</w:t>
            </w:r>
          </w:p>
          <w:p w14:paraId="49B97062" w14:textId="77777777" w:rsidR="008145FF" w:rsidRPr="008145FF" w:rsidRDefault="008145FF" w:rsidP="000C3357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Тпер</w:t>
            </w:r>
            <w:proofErr w:type="spellEnd"/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. - тариф на послуги з передачі електричної енергії, затверджений регулятором для оператора системи передачі у встановленому порядку відповідно до постанови НКРЕКП від 09.12.2023 р. № 2322 – 0,52857 грн. за 1 кВт*год. без ПДВ </w:t>
            </w:r>
            <w:proofErr w:type="spellStart"/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Тпер</w:t>
            </w:r>
            <w:proofErr w:type="spellEnd"/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. Є регульованою складовою ціни Договору;</w:t>
            </w:r>
          </w:p>
          <w:p w14:paraId="6A193A43" w14:textId="77777777" w:rsidR="008145FF" w:rsidRPr="008145FF" w:rsidRDefault="008145FF" w:rsidP="000C3357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145F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1,2 – математичне вираження ставки податку на додану вартість (ПДВ-20 %).</w:t>
            </w:r>
          </w:p>
        </w:tc>
      </w:tr>
    </w:tbl>
    <w:p w14:paraId="4C46805D" w14:textId="47B741D5" w:rsidR="00926DEC" w:rsidRDefault="00926DEC" w:rsidP="00926DEC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14:paraId="65163847" w14:textId="2079F541" w:rsidR="00926DEC" w:rsidRDefault="00926DEC" w:rsidP="008145FF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14:paraId="192A76CD" w14:textId="0D1C42AF" w:rsidR="00926DEC" w:rsidRDefault="00926DEC" w:rsidP="00926DEC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14:paraId="48DF21AD" w14:textId="77777777" w:rsidR="00926DEC" w:rsidRDefault="00926DEC" w:rsidP="00926DEC">
      <w:pPr>
        <w:jc w:val="right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31BD84B" w14:textId="77777777" w:rsidR="00926DEC" w:rsidRDefault="00926DEC" w:rsidP="00926DEC">
      <w:pPr>
        <w:jc w:val="center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1036ED7F" w14:textId="77777777" w:rsidR="00926DEC" w:rsidRPr="00926DEC" w:rsidRDefault="00926DEC" w:rsidP="00926DEC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sectPr w:rsidR="00926DEC" w:rsidRPr="0092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046"/>
    <w:multiLevelType w:val="hybridMultilevel"/>
    <w:tmpl w:val="4CD4C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0E88"/>
    <w:multiLevelType w:val="multilevel"/>
    <w:tmpl w:val="54D6FD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25AE2D26"/>
    <w:multiLevelType w:val="hybridMultilevel"/>
    <w:tmpl w:val="F352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C3A46"/>
    <w:multiLevelType w:val="hybridMultilevel"/>
    <w:tmpl w:val="EAA2F88A"/>
    <w:lvl w:ilvl="0" w:tplc="67E64AA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E50D6"/>
    <w:multiLevelType w:val="multilevel"/>
    <w:tmpl w:val="0D222D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65A4DA8"/>
    <w:multiLevelType w:val="hybridMultilevel"/>
    <w:tmpl w:val="5838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44F"/>
    <w:multiLevelType w:val="hybridMultilevel"/>
    <w:tmpl w:val="11E61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E02C9"/>
    <w:multiLevelType w:val="hybridMultilevel"/>
    <w:tmpl w:val="5838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925E6"/>
    <w:multiLevelType w:val="multilevel"/>
    <w:tmpl w:val="48AA19E6"/>
    <w:lvl w:ilvl="0">
      <w:start w:val="1"/>
      <w:numFmt w:val="decimal"/>
      <w:lvlText w:val="%1."/>
      <w:lvlJc w:val="left"/>
      <w:pPr>
        <w:ind w:left="504" w:hanging="50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"/>
  </w:num>
  <w:num w:numId="3">
    <w:abstractNumId w:val="9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43"/>
    <w:rsid w:val="000A4F18"/>
    <w:rsid w:val="001561B3"/>
    <w:rsid w:val="00182F45"/>
    <w:rsid w:val="00301FB0"/>
    <w:rsid w:val="003163B4"/>
    <w:rsid w:val="003A1483"/>
    <w:rsid w:val="003A3423"/>
    <w:rsid w:val="004105CB"/>
    <w:rsid w:val="004143A0"/>
    <w:rsid w:val="004165E3"/>
    <w:rsid w:val="0045009C"/>
    <w:rsid w:val="004B1E7D"/>
    <w:rsid w:val="004C737D"/>
    <w:rsid w:val="004D7AFD"/>
    <w:rsid w:val="00512E21"/>
    <w:rsid w:val="006B379E"/>
    <w:rsid w:val="006D5BA6"/>
    <w:rsid w:val="00734727"/>
    <w:rsid w:val="00762E21"/>
    <w:rsid w:val="007779BA"/>
    <w:rsid w:val="007A549F"/>
    <w:rsid w:val="007D643F"/>
    <w:rsid w:val="00800476"/>
    <w:rsid w:val="008145FF"/>
    <w:rsid w:val="008349C5"/>
    <w:rsid w:val="00845163"/>
    <w:rsid w:val="008D2C0E"/>
    <w:rsid w:val="00926DEC"/>
    <w:rsid w:val="00A471A1"/>
    <w:rsid w:val="00A76A67"/>
    <w:rsid w:val="00AA100F"/>
    <w:rsid w:val="00AB0E60"/>
    <w:rsid w:val="00AC0796"/>
    <w:rsid w:val="00B96D5A"/>
    <w:rsid w:val="00C409ED"/>
    <w:rsid w:val="00C773CE"/>
    <w:rsid w:val="00D01444"/>
    <w:rsid w:val="00D0463D"/>
    <w:rsid w:val="00DD044B"/>
    <w:rsid w:val="00E05A49"/>
    <w:rsid w:val="00E10D41"/>
    <w:rsid w:val="00E30471"/>
    <w:rsid w:val="00E529CB"/>
    <w:rsid w:val="00E61A23"/>
    <w:rsid w:val="00E65223"/>
    <w:rsid w:val="00E76FC8"/>
    <w:rsid w:val="00F606E4"/>
    <w:rsid w:val="00F82C43"/>
    <w:rsid w:val="00FA745E"/>
    <w:rsid w:val="00FF701F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semiHidden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customStyle="1" w:styleId="1">
    <w:name w:val="Обычный1"/>
    <w:qFormat/>
    <w:rsid w:val="00762E2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styleId="a5">
    <w:name w:val="Table Grid"/>
    <w:basedOn w:val="a1"/>
    <w:uiPriority w:val="39"/>
    <w:rsid w:val="0081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06E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6E4"/>
    <w:rPr>
      <w:rFonts w:ascii="Segoe UI" w:eastAsia="Segoe UI" w:hAnsi="Segoe UI" w:cs="Mangal"/>
      <w:color w:val="000000"/>
      <w:kern w:val="3"/>
      <w:sz w:val="18"/>
      <w:szCs w:val="16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semiHidden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customStyle="1" w:styleId="1">
    <w:name w:val="Обычный1"/>
    <w:qFormat/>
    <w:rsid w:val="00762E2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styleId="a5">
    <w:name w:val="Table Grid"/>
    <w:basedOn w:val="a1"/>
    <w:uiPriority w:val="39"/>
    <w:rsid w:val="0081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06E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6E4"/>
    <w:rPr>
      <w:rFonts w:ascii="Segoe UI" w:eastAsia="Segoe UI" w:hAnsi="Segoe UI" w:cs="Mangal"/>
      <w:color w:val="000000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Proizv705</dc:creator>
  <cp:keywords/>
  <dc:description/>
  <cp:lastModifiedBy>sstrilok</cp:lastModifiedBy>
  <cp:revision>13</cp:revision>
  <cp:lastPrinted>2024-01-15T14:46:00Z</cp:lastPrinted>
  <dcterms:created xsi:type="dcterms:W3CDTF">2023-02-27T11:37:00Z</dcterms:created>
  <dcterms:modified xsi:type="dcterms:W3CDTF">2024-01-16T20:38:00Z</dcterms:modified>
</cp:coreProperties>
</file>