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5199E8B6" w:rsidR="003F67E1" w:rsidRPr="00DE5789" w:rsidRDefault="003F67E1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6804"/>
      </w:tblGrid>
      <w:tr w:rsidR="00B7139A" w:rsidRPr="00C93342" w14:paraId="2456B54B" w14:textId="77777777" w:rsidTr="00C93342">
        <w:tc>
          <w:tcPr>
            <w:tcW w:w="4253" w:type="dxa"/>
          </w:tcPr>
          <w:p w14:paraId="6589C05E" w14:textId="59658996" w:rsidR="00361FA7" w:rsidRPr="00C93342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342">
              <w:rPr>
                <w:rFonts w:ascii="Times New Roman" w:hAnsi="Times New Roman" w:cs="Times New Roman"/>
                <w:b/>
                <w:lang w:val="uk-UA"/>
              </w:rPr>
              <w:t>Було</w:t>
            </w:r>
          </w:p>
        </w:tc>
        <w:tc>
          <w:tcPr>
            <w:tcW w:w="6804" w:type="dxa"/>
            <w:shd w:val="clear" w:color="auto" w:fill="auto"/>
          </w:tcPr>
          <w:p w14:paraId="70A5D12E" w14:textId="13056666" w:rsidR="00361FA7" w:rsidRPr="00C93342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3342">
              <w:rPr>
                <w:rFonts w:ascii="Times New Roman" w:hAnsi="Times New Roman" w:cs="Times New Roman"/>
                <w:b/>
                <w:lang w:val="uk-UA"/>
              </w:rPr>
              <w:t>Стало</w:t>
            </w:r>
          </w:p>
        </w:tc>
      </w:tr>
      <w:tr w:rsidR="00BC009F" w:rsidRPr="00C93342" w14:paraId="47B9FC91" w14:textId="77777777" w:rsidTr="00E2570B">
        <w:tc>
          <w:tcPr>
            <w:tcW w:w="11057" w:type="dxa"/>
            <w:gridSpan w:val="2"/>
            <w:vAlign w:val="center"/>
          </w:tcPr>
          <w:p w14:paraId="0EFB36FC" w14:textId="77777777" w:rsidR="00BC009F" w:rsidRPr="00C93342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C93342">
              <w:rPr>
                <w:rFonts w:ascii="Times New Roman" w:hAnsi="Times New Roman" w:cs="Times New Roman"/>
                <w:lang w:val="uk-UA"/>
              </w:rPr>
              <w:t>ДОДАТОК 1</w:t>
            </w:r>
          </w:p>
          <w:p w14:paraId="100916BD" w14:textId="56791D44" w:rsidR="00BC009F" w:rsidRPr="00C93342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3342">
              <w:rPr>
                <w:rFonts w:ascii="Times New Roman" w:hAnsi="Times New Roman" w:cs="Times New Roman"/>
                <w:lang w:val="uk-UA"/>
              </w:rPr>
              <w:t>до тендерної документації</w:t>
            </w:r>
          </w:p>
        </w:tc>
      </w:tr>
      <w:tr w:rsidR="00BC009F" w:rsidRPr="00C93342" w14:paraId="020D17DC" w14:textId="77777777" w:rsidTr="00C93342">
        <w:tc>
          <w:tcPr>
            <w:tcW w:w="4253" w:type="dxa"/>
          </w:tcPr>
          <w:p w14:paraId="4FC803CE" w14:textId="779FB907" w:rsidR="00BC009F" w:rsidRPr="00C93342" w:rsidRDefault="00C93342" w:rsidP="00C93342">
            <w:pPr>
              <w:ind w:left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3342">
              <w:rPr>
                <w:rFonts w:ascii="Times New Roman" w:eastAsia="Times New Roman" w:hAnsi="Times New Roman"/>
              </w:rPr>
              <w:t xml:space="preserve">На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спроможності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надає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фінансову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звітність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за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останній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звітний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період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. Склад та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елементи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Наказу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Міністерства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Фінансів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України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«Про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затвердження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Національного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положення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(стандарту)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бухгалтерського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обліку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1 «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Загальні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вимоги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»» № 73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від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07.02.2013.</w:t>
            </w:r>
          </w:p>
        </w:tc>
        <w:tc>
          <w:tcPr>
            <w:tcW w:w="6804" w:type="dxa"/>
            <w:shd w:val="clear" w:color="auto" w:fill="auto"/>
          </w:tcPr>
          <w:p w14:paraId="4746CC01" w14:textId="38BA7C20" w:rsidR="00BC009F" w:rsidRPr="00C93342" w:rsidRDefault="00C93342" w:rsidP="00C93342">
            <w:pPr>
              <w:suppressAutoHyphens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1" w:name="_Hlk156221073"/>
            <w:bookmarkStart w:id="2" w:name="_Hlk154613674"/>
            <w:r w:rsidRPr="00C93342">
              <w:rPr>
                <w:rFonts w:ascii="Times New Roman" w:eastAsia="Times New Roman" w:hAnsi="Times New Roman"/>
              </w:rPr>
              <w:t xml:space="preserve">На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спроможності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надає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фінансову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звітність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за 2022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рік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або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за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останній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звітний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період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. Склад та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елементи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Наказу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Міністерства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Фінансів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України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«Про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затвердження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Національного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положення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(стандарту)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бухгалтерського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обліку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1 «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Загальні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вимоги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фінансової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звітності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»» № 73 </w:t>
            </w:r>
            <w:proofErr w:type="spellStart"/>
            <w:r w:rsidRPr="00C93342">
              <w:rPr>
                <w:rFonts w:ascii="Times New Roman" w:eastAsia="Times New Roman" w:hAnsi="Times New Roman"/>
              </w:rPr>
              <w:t>від</w:t>
            </w:r>
            <w:proofErr w:type="spellEnd"/>
            <w:r w:rsidRPr="00C93342">
              <w:rPr>
                <w:rFonts w:ascii="Times New Roman" w:eastAsia="Times New Roman" w:hAnsi="Times New Roman"/>
              </w:rPr>
              <w:t xml:space="preserve"> 07.02.2013</w:t>
            </w:r>
            <w:bookmarkEnd w:id="1"/>
            <w:r w:rsidRPr="00C93342">
              <w:rPr>
                <w:rFonts w:ascii="Times New Roman" w:eastAsia="Times New Roman" w:hAnsi="Times New Roman"/>
              </w:rPr>
              <w:t>.</w:t>
            </w:r>
            <w:bookmarkEnd w:id="2"/>
          </w:p>
        </w:tc>
      </w:tr>
      <w:tr w:rsidR="00BC009F" w:rsidRPr="00C93342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0D0CC1C8" w14:textId="77777777" w:rsidR="00BC009F" w:rsidRPr="00C93342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342">
              <w:rPr>
                <w:rFonts w:ascii="Times New Roman" w:hAnsi="Times New Roman" w:cs="Times New Roman"/>
                <w:lang w:val="uk-UA"/>
              </w:rPr>
              <w:t>ДОДАТОК 2</w:t>
            </w:r>
          </w:p>
          <w:p w14:paraId="67C92D18" w14:textId="3D72BC52" w:rsidR="00BC009F" w:rsidRPr="00C93342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342">
              <w:rPr>
                <w:rFonts w:ascii="Times New Roman" w:hAnsi="Times New Roman" w:cs="Times New Roman"/>
                <w:lang w:val="uk-UA"/>
              </w:rPr>
              <w:t>до тендерної документації</w:t>
            </w:r>
          </w:p>
        </w:tc>
      </w:tr>
      <w:tr w:rsidR="00BC009F" w:rsidRPr="00C93342" w14:paraId="114CB7D0" w14:textId="77777777" w:rsidTr="00C93342">
        <w:tc>
          <w:tcPr>
            <w:tcW w:w="4253" w:type="dxa"/>
          </w:tcPr>
          <w:p w14:paraId="486FEC35" w14:textId="77777777" w:rsidR="00BC009F" w:rsidRPr="00C93342" w:rsidRDefault="00BC009F" w:rsidP="00BC009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Єдиним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критерієм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оцінки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тендерних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пропозицій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на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дану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закупівлю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є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ціна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Питома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вага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оцінки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C93342">
              <w:rPr>
                <w:rFonts w:ascii="Times New Roman" w:hAnsi="Times New Roman"/>
                <w:b/>
                <w:bCs/>
              </w:rPr>
              <w:t>ціна</w:t>
            </w:r>
            <w:proofErr w:type="spellEnd"/>
            <w:r w:rsidRPr="00C93342">
              <w:rPr>
                <w:rFonts w:ascii="Times New Roman" w:hAnsi="Times New Roman"/>
                <w:b/>
                <w:bCs/>
              </w:rPr>
              <w:t>) – 100%.</w:t>
            </w:r>
          </w:p>
          <w:p w14:paraId="53261CF1" w14:textId="31AC4B45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14:paraId="082A3BE0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bookmarkStart w:id="3" w:name="_Hlk152253726"/>
            <w:bookmarkStart w:id="4" w:name="_Hlk152252329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127FE680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bookmarkStart w:id="5" w:name="_Hlk154615037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16689813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 = </w:t>
            </w: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Nплан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* (</w:t>
            </w: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Цпрогн.ел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+ М + </w:t>
            </w: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.) * 1,2, грн з ПДВ де,</w:t>
            </w:r>
          </w:p>
          <w:p w14:paraId="405DA4DC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638A6D07" w14:textId="240E1988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Nплан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- плановий обсяг закупівлі електричної енергії для об’єктів Споживача – </w:t>
            </w:r>
            <w:r w:rsidRPr="00C93342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E603BF" w:rsidRPr="00C93342">
              <w:rPr>
                <w:rFonts w:ascii="Times New Roman" w:hAnsi="Times New Roman"/>
                <w:color w:val="000000" w:themeColor="text1"/>
                <w:lang w:val="uk-UA"/>
              </w:rPr>
              <w:t xml:space="preserve">31 </w:t>
            </w:r>
            <w:r w:rsidRPr="00C93342">
              <w:rPr>
                <w:rFonts w:ascii="Times New Roman" w:hAnsi="Times New Roman"/>
                <w:color w:val="000000" w:themeColor="text1"/>
              </w:rPr>
              <w:t>000</w:t>
            </w:r>
            <w:r w:rsidRPr="00C9334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кВт*год.</w:t>
            </w:r>
          </w:p>
          <w:p w14:paraId="50858EF7" w14:textId="194CCF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Цпрогн.ел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="00E603BF"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4,70653 </w:t>
            </w: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грн. за 1 кВт*год без ПДВ;</w:t>
            </w:r>
          </w:p>
          <w:p w14:paraId="2ECA8960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2B04F414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прогарантувати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08740CA0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</w:t>
            </w:r>
            <w:proofErr w:type="spellStart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</w:t>
            </w:r>
            <w:proofErr w:type="spellEnd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Є регульованою складовою ціни Договору;</w:t>
            </w:r>
          </w:p>
          <w:p w14:paraId="78312B08" w14:textId="7C828884" w:rsidR="00BC009F" w:rsidRPr="00C93342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1,2 – математичне вираження ставки податку на додану вартість (ПДВ-20 %)</w:t>
            </w:r>
            <w:bookmarkEnd w:id="3"/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  <w:bookmarkEnd w:id="4"/>
            <w:bookmarkEnd w:id="5"/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1458"/>
    <w:rsid w:val="00065E02"/>
    <w:rsid w:val="000709A7"/>
    <w:rsid w:val="00075251"/>
    <w:rsid w:val="00095DFE"/>
    <w:rsid w:val="0009624C"/>
    <w:rsid w:val="000A1501"/>
    <w:rsid w:val="000A2870"/>
    <w:rsid w:val="000A2A7D"/>
    <w:rsid w:val="000A47FF"/>
    <w:rsid w:val="000D2BEE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10CBB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1C45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C0DD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300E"/>
    <w:rsid w:val="00876A5F"/>
    <w:rsid w:val="00885D51"/>
    <w:rsid w:val="00886CA8"/>
    <w:rsid w:val="008919E5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2BCE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B5EE6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43BD"/>
    <w:rsid w:val="00C1514C"/>
    <w:rsid w:val="00C15696"/>
    <w:rsid w:val="00C23B7D"/>
    <w:rsid w:val="00C242F8"/>
    <w:rsid w:val="00C2434F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342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63BA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03BF"/>
    <w:rsid w:val="00E63B13"/>
    <w:rsid w:val="00E64CD6"/>
    <w:rsid w:val="00E65867"/>
    <w:rsid w:val="00E66E8C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D4FE2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sstrilok</cp:lastModifiedBy>
  <cp:revision>4</cp:revision>
  <cp:lastPrinted>2021-09-23T15:12:00Z</cp:lastPrinted>
  <dcterms:created xsi:type="dcterms:W3CDTF">2021-09-23T14:46:00Z</dcterms:created>
  <dcterms:modified xsi:type="dcterms:W3CDTF">2024-01-16T20:35:00Z</dcterms:modified>
</cp:coreProperties>
</file>