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DC1829" w:rsidRPr="00DC1829">
              <w:rPr>
                <w:rFonts w:ascii="Times New Roman" w:eastAsia="Times New Roman" w:hAnsi="Times New Roman" w:cs="Times New Roman"/>
                <w:b/>
                <w:bCs/>
                <w:sz w:val="24"/>
                <w:szCs w:val="24"/>
                <w:lang w:val="uk-UA" w:eastAsia="uk-UA"/>
              </w:rPr>
              <w:t>Тест-смужки для експрес аналізу сечі на кетони №50, Тест-смужки для експрес аналізу сечі на глюкозу №50  за кодом ДК 021:2015  33120000-7 - Системи реєстрації медичної інформації та дослідне обладнання</w:t>
            </w:r>
            <w:r w:rsidR="00ED2F07" w:rsidRPr="00527BDC">
              <w:rPr>
                <w:rFonts w:ascii="Times New Roman" w:eastAsia="Times New Roman" w:hAnsi="Times New Roman" w:cs="Times New Roman"/>
                <w:b/>
                <w:bCs/>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w:t>
            </w:r>
            <w:r w:rsidR="006B48AF" w:rsidRPr="00527BDC">
              <w:rPr>
                <w:rFonts w:ascii="Times New Roman" w:eastAsia="Times New Roman" w:hAnsi="Times New Roman" w:cs="Times New Roman"/>
                <w:sz w:val="24"/>
                <w:szCs w:val="24"/>
                <w:lang w:val="uk-UA" w:eastAsia="uk-UA"/>
              </w:rPr>
              <w:lastRenderedPageBreak/>
              <w:t>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27BDC">
              <w:rPr>
                <w:rFonts w:ascii="Times New Roman" w:eastAsia="Times New Roman" w:hAnsi="Times New Roman" w:cs="Times New Roman"/>
                <w:kern w:val="16"/>
                <w:sz w:val="24"/>
                <w:szCs w:val="24"/>
                <w:lang w:val="uk-UA"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123A92" w:rsidP="004A2E39">
            <w:pPr>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Одиниці ви</w:t>
            </w:r>
            <w:r w:rsidR="004A2E39" w:rsidRPr="00527BDC">
              <w:rPr>
                <w:rFonts w:ascii="Times New Roman" w:eastAsia="Times New Roman" w:hAnsi="Times New Roman" w:cs="Times New Roman"/>
                <w:b/>
                <w:bCs/>
                <w:sz w:val="24"/>
                <w:szCs w:val="24"/>
                <w:lang w:val="uk-UA" w:eastAsia="uk-UA"/>
              </w:rPr>
              <w:t>міру</w:t>
            </w:r>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6409D2" w:rsidTr="00527BDC">
        <w:trPr>
          <w:trHeight w:val="325"/>
        </w:trPr>
        <w:tc>
          <w:tcPr>
            <w:tcW w:w="875" w:type="dxa"/>
          </w:tcPr>
          <w:p w:rsidR="004A2E39" w:rsidRPr="00EB6EFC" w:rsidRDefault="00EB6EFC" w:rsidP="00B128C6">
            <w:pPr>
              <w:suppressAutoHyphens/>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4176" w:type="dxa"/>
            <w:vAlign w:val="center"/>
          </w:tcPr>
          <w:p w:rsidR="004A2E39" w:rsidRPr="00DC1829" w:rsidRDefault="00DC1829" w:rsidP="00B128C6">
            <w:pPr>
              <w:suppressAutoHyphens/>
              <w:rPr>
                <w:rFonts w:ascii="Times New Roman" w:eastAsia="Times New Roman" w:hAnsi="Times New Roman" w:cs="Times New Roman"/>
                <w:sz w:val="24"/>
                <w:szCs w:val="24"/>
                <w:lang w:val="uk-UA" w:eastAsia="ar-SA"/>
              </w:rPr>
            </w:pPr>
            <w:r w:rsidRPr="00DC1829">
              <w:rPr>
                <w:rFonts w:ascii="Times New Roman" w:eastAsia="Times New Roman" w:hAnsi="Times New Roman" w:cs="Times New Roman"/>
                <w:sz w:val="24"/>
                <w:szCs w:val="24"/>
                <w:lang w:eastAsia="ar-SA"/>
              </w:rPr>
              <w:t>Тест-</w:t>
            </w:r>
            <w:proofErr w:type="spellStart"/>
            <w:r w:rsidRPr="00DC1829">
              <w:rPr>
                <w:rFonts w:ascii="Times New Roman" w:eastAsia="Times New Roman" w:hAnsi="Times New Roman" w:cs="Times New Roman"/>
                <w:sz w:val="24"/>
                <w:szCs w:val="24"/>
                <w:lang w:eastAsia="ar-SA"/>
              </w:rPr>
              <w:t>смужки</w:t>
            </w:r>
            <w:proofErr w:type="spellEnd"/>
            <w:r w:rsidRPr="00DC1829">
              <w:rPr>
                <w:rFonts w:ascii="Times New Roman" w:eastAsia="Times New Roman" w:hAnsi="Times New Roman" w:cs="Times New Roman"/>
                <w:sz w:val="24"/>
                <w:szCs w:val="24"/>
                <w:lang w:eastAsia="ar-SA"/>
              </w:rPr>
              <w:t xml:space="preserve"> для </w:t>
            </w:r>
            <w:proofErr w:type="spellStart"/>
            <w:r w:rsidRPr="00DC1829">
              <w:rPr>
                <w:rFonts w:ascii="Times New Roman" w:eastAsia="Times New Roman" w:hAnsi="Times New Roman" w:cs="Times New Roman"/>
                <w:sz w:val="24"/>
                <w:szCs w:val="24"/>
                <w:lang w:eastAsia="ar-SA"/>
              </w:rPr>
              <w:t>експрес</w:t>
            </w:r>
            <w:proofErr w:type="spellEnd"/>
            <w:r w:rsidRPr="00DC1829">
              <w:rPr>
                <w:rFonts w:ascii="Times New Roman" w:eastAsia="Times New Roman" w:hAnsi="Times New Roman" w:cs="Times New Roman"/>
                <w:sz w:val="24"/>
                <w:szCs w:val="24"/>
                <w:lang w:eastAsia="ar-SA"/>
              </w:rPr>
              <w:t xml:space="preserve"> </w:t>
            </w:r>
            <w:proofErr w:type="spellStart"/>
            <w:r w:rsidRPr="00DC1829">
              <w:rPr>
                <w:rFonts w:ascii="Times New Roman" w:eastAsia="Times New Roman" w:hAnsi="Times New Roman" w:cs="Times New Roman"/>
                <w:sz w:val="24"/>
                <w:szCs w:val="24"/>
                <w:lang w:eastAsia="ar-SA"/>
              </w:rPr>
              <w:t>аналізу</w:t>
            </w:r>
            <w:proofErr w:type="spellEnd"/>
            <w:r w:rsidRPr="00DC1829">
              <w:rPr>
                <w:rFonts w:ascii="Times New Roman" w:eastAsia="Times New Roman" w:hAnsi="Times New Roman" w:cs="Times New Roman"/>
                <w:sz w:val="24"/>
                <w:szCs w:val="24"/>
                <w:lang w:eastAsia="ar-SA"/>
              </w:rPr>
              <w:t xml:space="preserve"> </w:t>
            </w:r>
            <w:proofErr w:type="spellStart"/>
            <w:r w:rsidRPr="00DC1829">
              <w:rPr>
                <w:rFonts w:ascii="Times New Roman" w:eastAsia="Times New Roman" w:hAnsi="Times New Roman" w:cs="Times New Roman"/>
                <w:sz w:val="24"/>
                <w:szCs w:val="24"/>
                <w:lang w:eastAsia="ar-SA"/>
              </w:rPr>
              <w:t>сечі</w:t>
            </w:r>
            <w:proofErr w:type="spellEnd"/>
            <w:r w:rsidRPr="00DC1829">
              <w:rPr>
                <w:rFonts w:ascii="Times New Roman" w:eastAsia="Times New Roman" w:hAnsi="Times New Roman" w:cs="Times New Roman"/>
                <w:sz w:val="24"/>
                <w:szCs w:val="24"/>
                <w:lang w:eastAsia="ar-SA"/>
              </w:rPr>
              <w:t xml:space="preserve"> на </w:t>
            </w:r>
            <w:proofErr w:type="spellStart"/>
            <w:r w:rsidRPr="00DC1829">
              <w:rPr>
                <w:rFonts w:ascii="Times New Roman" w:eastAsia="Times New Roman" w:hAnsi="Times New Roman" w:cs="Times New Roman"/>
                <w:sz w:val="24"/>
                <w:szCs w:val="24"/>
                <w:lang w:eastAsia="ar-SA"/>
              </w:rPr>
              <w:t>кетони</w:t>
            </w:r>
            <w:proofErr w:type="spellEnd"/>
            <w:r w:rsidRPr="00DC1829">
              <w:rPr>
                <w:rFonts w:ascii="Times New Roman" w:eastAsia="Times New Roman" w:hAnsi="Times New Roman" w:cs="Times New Roman"/>
                <w:sz w:val="24"/>
                <w:szCs w:val="24"/>
                <w:lang w:eastAsia="ar-SA"/>
              </w:rPr>
              <w:t xml:space="preserve"> №50</w:t>
            </w:r>
            <w:r>
              <w:rPr>
                <w:rFonts w:ascii="Times New Roman" w:eastAsia="Times New Roman" w:hAnsi="Times New Roman" w:cs="Times New Roman"/>
                <w:sz w:val="24"/>
                <w:szCs w:val="24"/>
                <w:lang w:val="uk-UA" w:eastAsia="ar-SA"/>
              </w:rPr>
              <w:t xml:space="preserve"> (</w:t>
            </w:r>
            <w:r w:rsidR="006D6CC3">
              <w:rPr>
                <w:rFonts w:ascii="Times New Roman" w:eastAsia="Times New Roman" w:hAnsi="Times New Roman" w:cs="Times New Roman"/>
                <w:sz w:val="24"/>
                <w:szCs w:val="24"/>
                <w:lang w:val="uk-UA" w:eastAsia="ar-SA"/>
              </w:rPr>
              <w:t xml:space="preserve">4 </w:t>
            </w:r>
            <w:proofErr w:type="spellStart"/>
            <w:r w:rsidR="006D6CC3">
              <w:rPr>
                <w:rFonts w:ascii="Times New Roman" w:eastAsia="Times New Roman" w:hAnsi="Times New Roman" w:cs="Times New Roman"/>
                <w:sz w:val="24"/>
                <w:szCs w:val="24"/>
                <w:lang w:val="uk-UA" w:eastAsia="ar-SA"/>
              </w:rPr>
              <w:t>уп</w:t>
            </w:r>
            <w:proofErr w:type="spellEnd"/>
            <w:r w:rsidR="006D6CC3">
              <w:rPr>
                <w:rFonts w:ascii="Times New Roman" w:eastAsia="Times New Roman" w:hAnsi="Times New Roman" w:cs="Times New Roman"/>
                <w:sz w:val="24"/>
                <w:szCs w:val="24"/>
                <w:lang w:val="uk-UA" w:eastAsia="ar-SA"/>
              </w:rPr>
              <w:t>. №50)</w:t>
            </w:r>
          </w:p>
        </w:tc>
        <w:tc>
          <w:tcPr>
            <w:tcW w:w="1343" w:type="dxa"/>
            <w:vAlign w:val="center"/>
          </w:tcPr>
          <w:p w:rsidR="004A2E39" w:rsidRPr="00527BDC" w:rsidRDefault="00123A92"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Шт.</w:t>
            </w:r>
          </w:p>
        </w:tc>
        <w:tc>
          <w:tcPr>
            <w:tcW w:w="1134" w:type="dxa"/>
            <w:vAlign w:val="center"/>
          </w:tcPr>
          <w:p w:rsidR="004A2E39" w:rsidRPr="00527BDC" w:rsidRDefault="00DC1829" w:rsidP="001A09DE">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DC1829" w:rsidRPr="006409D2" w:rsidTr="00527BDC">
        <w:trPr>
          <w:trHeight w:val="325"/>
        </w:trPr>
        <w:tc>
          <w:tcPr>
            <w:tcW w:w="875" w:type="dxa"/>
          </w:tcPr>
          <w:p w:rsidR="00DC1829" w:rsidRPr="00DC1829" w:rsidRDefault="00DC1829"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4176" w:type="dxa"/>
            <w:vAlign w:val="center"/>
          </w:tcPr>
          <w:p w:rsidR="00DC1829" w:rsidRDefault="00DC1829" w:rsidP="00B128C6">
            <w:pPr>
              <w:suppressAutoHyphens/>
              <w:rPr>
                <w:rFonts w:ascii="Times New Roman" w:eastAsia="Times New Roman" w:hAnsi="Times New Roman" w:cs="Times New Roman"/>
                <w:sz w:val="24"/>
                <w:szCs w:val="24"/>
                <w:lang w:val="uk-UA" w:eastAsia="ar-SA"/>
              </w:rPr>
            </w:pPr>
            <w:r w:rsidRPr="00DC1829">
              <w:rPr>
                <w:rFonts w:ascii="Times New Roman" w:eastAsia="Times New Roman" w:hAnsi="Times New Roman" w:cs="Times New Roman"/>
                <w:sz w:val="24"/>
                <w:szCs w:val="24"/>
                <w:lang w:val="uk-UA" w:eastAsia="ar-SA"/>
              </w:rPr>
              <w:t>Тест-смужки для експрес аналізу сечі на глюкозу №50</w:t>
            </w:r>
            <w:r w:rsidR="006D6CC3">
              <w:rPr>
                <w:rFonts w:ascii="Times New Roman" w:eastAsia="Times New Roman" w:hAnsi="Times New Roman" w:cs="Times New Roman"/>
                <w:sz w:val="24"/>
                <w:szCs w:val="24"/>
                <w:lang w:val="uk-UA" w:eastAsia="ar-SA"/>
              </w:rPr>
              <w:t xml:space="preserve"> (11 </w:t>
            </w:r>
            <w:proofErr w:type="spellStart"/>
            <w:r w:rsidR="006D6CC3">
              <w:rPr>
                <w:rFonts w:ascii="Times New Roman" w:eastAsia="Times New Roman" w:hAnsi="Times New Roman" w:cs="Times New Roman"/>
                <w:sz w:val="24"/>
                <w:szCs w:val="24"/>
                <w:lang w:val="uk-UA" w:eastAsia="ar-SA"/>
              </w:rPr>
              <w:t>уп</w:t>
            </w:r>
            <w:proofErr w:type="spellEnd"/>
            <w:r w:rsidR="006D6CC3">
              <w:rPr>
                <w:rFonts w:ascii="Times New Roman" w:eastAsia="Times New Roman" w:hAnsi="Times New Roman" w:cs="Times New Roman"/>
                <w:sz w:val="24"/>
                <w:szCs w:val="24"/>
                <w:lang w:val="uk-UA" w:eastAsia="ar-SA"/>
              </w:rPr>
              <w:t>. №50)</w:t>
            </w:r>
            <w:bookmarkStart w:id="0" w:name="_GoBack"/>
            <w:bookmarkEnd w:id="0"/>
          </w:p>
        </w:tc>
        <w:tc>
          <w:tcPr>
            <w:tcW w:w="1343" w:type="dxa"/>
            <w:vAlign w:val="center"/>
          </w:tcPr>
          <w:p w:rsidR="00DC1829" w:rsidRDefault="00DC1829"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Шт.</w:t>
            </w:r>
          </w:p>
        </w:tc>
        <w:tc>
          <w:tcPr>
            <w:tcW w:w="1134" w:type="dxa"/>
            <w:vAlign w:val="center"/>
          </w:tcPr>
          <w:p w:rsidR="00DC1829" w:rsidRDefault="00DC1829" w:rsidP="001A09DE">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w:t>
            </w:r>
          </w:p>
        </w:tc>
        <w:tc>
          <w:tcPr>
            <w:tcW w:w="1417" w:type="dxa"/>
            <w:vAlign w:val="center"/>
          </w:tcPr>
          <w:p w:rsidR="00DC1829" w:rsidRPr="00527BDC" w:rsidRDefault="00DC182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DC1829" w:rsidRPr="00527BDC" w:rsidRDefault="00DC1829"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123A92"/>
    <w:rsid w:val="001A09DE"/>
    <w:rsid w:val="002E351A"/>
    <w:rsid w:val="003B7D15"/>
    <w:rsid w:val="0048177B"/>
    <w:rsid w:val="004A2E39"/>
    <w:rsid w:val="00527BDC"/>
    <w:rsid w:val="005F439F"/>
    <w:rsid w:val="006409D2"/>
    <w:rsid w:val="006A6B58"/>
    <w:rsid w:val="006B48AF"/>
    <w:rsid w:val="006D6CC3"/>
    <w:rsid w:val="006F4AF4"/>
    <w:rsid w:val="00917AB4"/>
    <w:rsid w:val="0093758F"/>
    <w:rsid w:val="00A063B5"/>
    <w:rsid w:val="00A24CD4"/>
    <w:rsid w:val="00B128C6"/>
    <w:rsid w:val="00B96426"/>
    <w:rsid w:val="00D74B77"/>
    <w:rsid w:val="00DC1829"/>
    <w:rsid w:val="00DE444E"/>
    <w:rsid w:val="00E21129"/>
    <w:rsid w:val="00EA0105"/>
    <w:rsid w:val="00EB6EFC"/>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2023-01-11T12:55:00Z</dcterms:created>
  <dcterms:modified xsi:type="dcterms:W3CDTF">2024-03-27T09:26:00Z</dcterms:modified>
</cp:coreProperties>
</file>