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05" w:rsidRDefault="00E14705"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proofErr w:type="spellStart"/>
      <w:r w:rsidRPr="00C265BB">
        <w:rPr>
          <w:rFonts w:eastAsia="Calibri"/>
          <w:b/>
          <w:sz w:val="24"/>
          <w:szCs w:val="24"/>
        </w:rPr>
        <w:t>Яготинської</w:t>
      </w:r>
      <w:proofErr w:type="spellEnd"/>
      <w:r w:rsidRPr="00C265BB">
        <w:rPr>
          <w:rFonts w:eastAsia="Calibri"/>
          <w:b/>
          <w:sz w:val="24"/>
          <w:szCs w:val="24"/>
        </w:rPr>
        <w:t xml:space="preserve"> міської ради «</w:t>
      </w:r>
      <w:proofErr w:type="spellStart"/>
      <w:r w:rsidRPr="00C265BB">
        <w:rPr>
          <w:rFonts w:eastAsia="Calibri"/>
          <w:b/>
          <w:sz w:val="24"/>
          <w:szCs w:val="24"/>
        </w:rPr>
        <w:t>Яготинський</w:t>
      </w:r>
      <w:proofErr w:type="spellEnd"/>
      <w:r w:rsidRPr="00C265BB">
        <w:rPr>
          <w:rFonts w:eastAsia="Calibri"/>
          <w:b/>
          <w:sz w:val="24"/>
          <w:szCs w:val="24"/>
        </w:rPr>
        <w:t xml:space="preserve"> центр первинної медико-санітарної допомоги»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Pr="00C265BB">
        <w:rPr>
          <w:rFonts w:eastAsia="Calibri"/>
          <w:sz w:val="24"/>
          <w:szCs w:val="24"/>
        </w:rPr>
        <w:t>Сахна</w:t>
      </w:r>
      <w:proofErr w:type="spellEnd"/>
      <w:r w:rsidRPr="00C265BB">
        <w:rPr>
          <w:rFonts w:eastAsia="Calibri"/>
          <w:sz w:val="24"/>
          <w:szCs w:val="24"/>
        </w:rPr>
        <w:t xml:space="preserve"> Івана Івановича, що 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xml:space="preserve">,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C265BB">
        <w:rPr>
          <w:rFonts w:eastAsia="Calibri"/>
          <w:sz w:val="24"/>
          <w:szCs w:val="24"/>
        </w:rPr>
        <w:t>закупівель</w:t>
      </w:r>
      <w:proofErr w:type="spellEnd"/>
      <w:r w:rsidRPr="00C265BB">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E14705" w:rsidRPr="00C265BB" w:rsidRDefault="00E14705" w:rsidP="00E14705">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C265BB">
        <w:rPr>
          <w:rFonts w:eastAsia="Calibri"/>
          <w:sz w:val="24"/>
          <w:szCs w:val="24"/>
        </w:rPr>
        <w:t>1.1. 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D2012B" w:rsidRDefault="00E14705" w:rsidP="00E14705">
      <w:pPr>
        <w:spacing w:after="0"/>
        <w:jc w:val="both"/>
        <w:rPr>
          <w:b/>
          <w:color w:val="000000"/>
          <w:sz w:val="24"/>
          <w:szCs w:val="24"/>
        </w:rPr>
      </w:pPr>
      <w:r>
        <w:rPr>
          <w:rFonts w:eastAsia="Calibri"/>
          <w:sz w:val="24"/>
          <w:szCs w:val="24"/>
        </w:rPr>
        <w:t xml:space="preserve">         </w:t>
      </w:r>
      <w:r w:rsidRPr="00C265BB">
        <w:rPr>
          <w:rFonts w:eastAsia="Calibri"/>
          <w:sz w:val="24"/>
          <w:szCs w:val="24"/>
        </w:rPr>
        <w:t xml:space="preserve">1.3. Товар, що є предметом даного Договору визначено за </w:t>
      </w:r>
      <w:r w:rsidR="00564F41" w:rsidRPr="0076159D">
        <w:rPr>
          <w:b/>
          <w:bCs/>
          <w:iCs/>
          <w:sz w:val="24"/>
          <w:szCs w:val="24"/>
        </w:rPr>
        <w:t xml:space="preserve">кодом </w:t>
      </w:r>
      <w:r w:rsidR="00564F41" w:rsidRPr="0076159D">
        <w:rPr>
          <w:b/>
          <w:sz w:val="24"/>
          <w:szCs w:val="24"/>
        </w:rPr>
        <w:t>ДК</w:t>
      </w:r>
      <w:r w:rsidR="00564F41">
        <w:rPr>
          <w:b/>
          <w:sz w:val="24"/>
          <w:szCs w:val="24"/>
        </w:rPr>
        <w:t xml:space="preserve"> 021:2015:</w:t>
      </w:r>
      <w:r w:rsidR="00564F41" w:rsidRPr="0076159D">
        <w:rPr>
          <w:b/>
          <w:sz w:val="24"/>
          <w:szCs w:val="24"/>
        </w:rPr>
        <w:t>331</w:t>
      </w:r>
      <w:r w:rsidR="000B6D9C">
        <w:rPr>
          <w:b/>
          <w:sz w:val="24"/>
          <w:szCs w:val="24"/>
        </w:rPr>
        <w:t>20000-7</w:t>
      </w:r>
      <w:r w:rsidR="00564F41" w:rsidRPr="0076159D">
        <w:rPr>
          <w:b/>
          <w:sz w:val="24"/>
          <w:szCs w:val="24"/>
        </w:rPr>
        <w:t xml:space="preserve"> – </w:t>
      </w:r>
      <w:r w:rsidR="000B6D9C">
        <w:rPr>
          <w:b/>
          <w:sz w:val="24"/>
          <w:szCs w:val="24"/>
        </w:rPr>
        <w:t>Системи реєстрації медичної ін</w:t>
      </w:r>
      <w:r w:rsidR="00985342">
        <w:rPr>
          <w:b/>
          <w:sz w:val="24"/>
          <w:szCs w:val="24"/>
        </w:rPr>
        <w:t xml:space="preserve">формації та дослідне обладнання (Тест-смужки </w:t>
      </w:r>
      <w:proofErr w:type="spellStart"/>
      <w:r w:rsidR="00985342">
        <w:rPr>
          <w:b/>
          <w:sz w:val="24"/>
          <w:szCs w:val="24"/>
          <w:lang w:val="en-US"/>
        </w:rPr>
        <w:t>GluNEO</w:t>
      </w:r>
      <w:proofErr w:type="spellEnd"/>
      <w:r w:rsidR="00985342" w:rsidRPr="00594F53">
        <w:rPr>
          <w:b/>
          <w:sz w:val="24"/>
          <w:szCs w:val="24"/>
        </w:rPr>
        <w:t xml:space="preserve"> </w:t>
      </w:r>
      <w:r w:rsidR="00985342">
        <w:rPr>
          <w:b/>
          <w:sz w:val="24"/>
          <w:szCs w:val="24"/>
          <w:lang w:val="en-US"/>
        </w:rPr>
        <w:t>Lite</w:t>
      </w:r>
      <w:r w:rsidR="00985342">
        <w:rPr>
          <w:b/>
          <w:sz w:val="24"/>
          <w:szCs w:val="24"/>
        </w:rPr>
        <w:t xml:space="preserve"> 50 </w:t>
      </w:r>
      <w:proofErr w:type="spellStart"/>
      <w:r w:rsidR="00985342">
        <w:rPr>
          <w:b/>
          <w:sz w:val="24"/>
          <w:szCs w:val="24"/>
        </w:rPr>
        <w:t>шт</w:t>
      </w:r>
      <w:proofErr w:type="spellEnd"/>
      <w:r w:rsidR="00985342">
        <w:rPr>
          <w:b/>
          <w:sz w:val="24"/>
          <w:szCs w:val="24"/>
        </w:rPr>
        <w:t>/</w:t>
      </w:r>
      <w:proofErr w:type="spellStart"/>
      <w:r w:rsidR="00985342">
        <w:rPr>
          <w:b/>
          <w:sz w:val="24"/>
          <w:szCs w:val="24"/>
        </w:rPr>
        <w:t>уп</w:t>
      </w:r>
      <w:proofErr w:type="spellEnd"/>
      <w:r w:rsidR="00985342">
        <w:rPr>
          <w:b/>
          <w:sz w:val="24"/>
          <w:szCs w:val="24"/>
        </w:rPr>
        <w:t xml:space="preserve">, тести для виявлення прихованої крові </w:t>
      </w:r>
      <w:r w:rsidR="00594F53">
        <w:rPr>
          <w:b/>
          <w:sz w:val="24"/>
          <w:szCs w:val="24"/>
        </w:rPr>
        <w:t>в калі, 25 шт/уп</w:t>
      </w:r>
      <w:bookmarkStart w:id="0" w:name="_GoBack"/>
      <w:bookmarkEnd w:id="0"/>
      <w:r w:rsidR="00985342">
        <w:rPr>
          <w:b/>
          <w:sz w:val="24"/>
          <w:szCs w:val="24"/>
        </w:rPr>
        <w:t>)</w:t>
      </w:r>
      <w:r w:rsidR="00564F41">
        <w:rPr>
          <w:sz w:val="22"/>
          <w:szCs w:val="22"/>
        </w:rPr>
        <w:t>.</w:t>
      </w:r>
      <w:r w:rsidR="00564F41" w:rsidRPr="0076159D">
        <w:rPr>
          <w:b/>
          <w:bCs/>
          <w:iCs/>
          <w:sz w:val="24"/>
          <w:szCs w:val="24"/>
        </w:rPr>
        <w:t xml:space="preserve"> </w:t>
      </w:r>
      <w:r w:rsidR="00BC5AB1">
        <w:rPr>
          <w:rFonts w:eastAsia="Calibri"/>
          <w:sz w:val="24"/>
          <w:szCs w:val="24"/>
        </w:rPr>
        <w:t xml:space="preserve">                                                                    </w:t>
      </w:r>
      <w:r w:rsidR="00564F41">
        <w:rPr>
          <w:rFonts w:eastAsia="Calibri"/>
          <w:sz w:val="24"/>
          <w:szCs w:val="24"/>
        </w:rPr>
        <w:t xml:space="preserve"> </w:t>
      </w:r>
    </w:p>
    <w:p w:rsidR="00E14705" w:rsidRPr="007770C6" w:rsidRDefault="00E14705" w:rsidP="00E14705">
      <w:pPr>
        <w:autoSpaceDE w:val="0"/>
        <w:autoSpaceDN w:val="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грн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Pr="00C265BB">
        <w:rPr>
          <w:rFonts w:eastAsia="Calibri"/>
          <w:b/>
          <w:sz w:val="24"/>
          <w:szCs w:val="24"/>
        </w:rPr>
        <w:t xml:space="preserve">), в </w:t>
      </w:r>
      <w:proofErr w:type="spellStart"/>
      <w:r w:rsidRPr="00C265BB">
        <w:rPr>
          <w:rFonts w:eastAsia="Calibri"/>
          <w:b/>
          <w:sz w:val="24"/>
          <w:szCs w:val="24"/>
        </w:rPr>
        <w:t>т.ч</w:t>
      </w:r>
      <w:proofErr w:type="spellEnd"/>
      <w:r w:rsidRPr="00C265BB">
        <w:rPr>
          <w:rFonts w:eastAsia="Calibri"/>
          <w:b/>
          <w:sz w:val="24"/>
          <w:szCs w:val="24"/>
        </w:rPr>
        <w:t xml:space="preserve">. ПДВ 20% — </w:t>
      </w:r>
      <w:r w:rsidRPr="00C265BB">
        <w:rPr>
          <w:rFonts w:eastAsia="Calibri"/>
          <w:sz w:val="24"/>
          <w:szCs w:val="24"/>
        </w:rPr>
        <w:t>_______</w:t>
      </w:r>
      <w:r w:rsidRPr="00C265BB">
        <w:rPr>
          <w:rFonts w:eastAsia="Calibri"/>
          <w:b/>
          <w:sz w:val="24"/>
          <w:szCs w:val="24"/>
        </w:rPr>
        <w:t xml:space="preserve"> грн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lastRenderedPageBreak/>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Viber</w:t>
      </w:r>
      <w:proofErr w:type="spellEnd"/>
      <w:r w:rsidRPr="00C265BB">
        <w:rPr>
          <w:rFonts w:eastAsia="Calibri"/>
          <w:sz w:val="24"/>
          <w:szCs w:val="24"/>
        </w:rPr>
        <w:t xml:space="preserve">, </w:t>
      </w:r>
      <w:proofErr w:type="spellStart"/>
      <w:r w:rsidRPr="00C265BB">
        <w:rPr>
          <w:rFonts w:eastAsia="Calibri"/>
          <w:sz w:val="24"/>
          <w:szCs w:val="24"/>
        </w:rPr>
        <w:t>WhatsApp</w:t>
      </w:r>
      <w:proofErr w:type="spellEnd"/>
      <w:r w:rsidRPr="00C265BB">
        <w:rPr>
          <w:rFonts w:eastAsia="Calibri"/>
          <w:sz w:val="24"/>
          <w:szCs w:val="24"/>
        </w:rPr>
        <w:t xml:space="preserve">, </w:t>
      </w:r>
      <w:proofErr w:type="spellStart"/>
      <w:r w:rsidRPr="00C265BB">
        <w:rPr>
          <w:rFonts w:eastAsia="Calibri"/>
          <w:sz w:val="24"/>
          <w:szCs w:val="24"/>
        </w:rPr>
        <w:t>Telegram</w:t>
      </w:r>
      <w:proofErr w:type="spellEnd"/>
      <w:r w:rsidRPr="00C265BB">
        <w:rPr>
          <w:rFonts w:eastAsia="Calibri"/>
          <w:sz w:val="24"/>
          <w:szCs w:val="24"/>
        </w:rPr>
        <w:t xml:space="preserve">, </w:t>
      </w:r>
      <w:proofErr w:type="spellStart"/>
      <w:r w:rsidRPr="00C265BB">
        <w:rPr>
          <w:rFonts w:eastAsia="Calibri"/>
          <w:sz w:val="24"/>
          <w:szCs w:val="24"/>
        </w:rPr>
        <w:t>Signal</w:t>
      </w:r>
      <w:proofErr w:type="spellEnd"/>
      <w:r w:rsidRPr="00C265BB">
        <w:rPr>
          <w:rFonts w:eastAsia="Calibri"/>
          <w:sz w:val="24"/>
          <w:szCs w:val="24"/>
        </w:rPr>
        <w:t>)), зазначеними у цьому Договорі.</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w:t>
      </w:r>
      <w:proofErr w:type="spellStart"/>
      <w:r w:rsidRPr="00C265BB">
        <w:rPr>
          <w:rFonts w:eastAsia="Calibri"/>
          <w:sz w:val="24"/>
          <w:szCs w:val="24"/>
        </w:rPr>
        <w:t>адресою</w:t>
      </w:r>
      <w:proofErr w:type="spellEnd"/>
      <w:r w:rsidRPr="00C265BB">
        <w:rPr>
          <w:rFonts w:eastAsia="Calibri"/>
          <w:sz w:val="24"/>
          <w:szCs w:val="24"/>
        </w:rPr>
        <w:t xml:space="preserve">: </w:t>
      </w:r>
      <w:r w:rsidRPr="00C265BB">
        <w:rPr>
          <w:rFonts w:eastAsia="Calibri"/>
          <w:color w:val="000000"/>
          <w:sz w:val="24"/>
          <w:szCs w:val="24"/>
        </w:rPr>
        <w:t xml:space="preserve">вул. Незалежності, 71, м. Яготин, Бориспільський район, Київська </w:t>
      </w:r>
      <w:proofErr w:type="spellStart"/>
      <w:r w:rsidRPr="00C265BB">
        <w:rPr>
          <w:rFonts w:eastAsia="Calibri"/>
          <w:color w:val="000000"/>
          <w:sz w:val="24"/>
          <w:szCs w:val="24"/>
        </w:rPr>
        <w:t>обл</w:t>
      </w:r>
      <w:proofErr w:type="spellEnd"/>
      <w:r w:rsidRPr="00C265BB">
        <w:rPr>
          <w:rFonts w:eastAsia="Calibri"/>
          <w:color w:val="000000"/>
          <w:sz w:val="24"/>
          <w:szCs w:val="24"/>
        </w:rPr>
        <w:t>,  07700.</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265BB">
        <w:rPr>
          <w:rFonts w:eastAsia="Calibri"/>
          <w:sz w:val="24"/>
          <w:szCs w:val="24"/>
        </w:rPr>
        <w:t>невідповідностей</w:t>
      </w:r>
      <w:proofErr w:type="spellEnd"/>
      <w:r w:rsidRPr="00C265BB">
        <w:rPr>
          <w:rFonts w:eastAsia="Calibri"/>
          <w:sz w:val="24"/>
          <w:szCs w:val="24"/>
        </w:rPr>
        <w:t>.</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w:t>
      </w:r>
      <w:r w:rsidR="00D10220">
        <w:rPr>
          <w:rFonts w:eastAsia="Calibri"/>
          <w:color w:val="000000"/>
          <w:sz w:val="24"/>
          <w:szCs w:val="24"/>
        </w:rPr>
        <w:t>,</w:t>
      </w:r>
      <w:r w:rsidRPr="00C265BB">
        <w:rPr>
          <w:rFonts w:eastAsia="Calibri"/>
          <w:color w:val="000000"/>
          <w:sz w:val="24"/>
          <w:szCs w:val="24"/>
        </w:rPr>
        <w:t xml:space="preserve">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551920">
        <w:rPr>
          <w:rFonts w:eastAsia="Calibri"/>
          <w:color w:val="000000"/>
          <w:sz w:val="24"/>
          <w:szCs w:val="24"/>
        </w:rPr>
        <w:t xml:space="preserve"> </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5.3</w:t>
      </w:r>
      <w:r w:rsidR="00E14705" w:rsidRPr="00C265BB">
        <w:rPr>
          <w:rFonts w:eastAsia="Calibri"/>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00E14705" w:rsidRPr="00C265BB">
        <w:rPr>
          <w:rFonts w:eastAsia="Calibri"/>
          <w:color w:val="000000"/>
          <w:sz w:val="24"/>
          <w:szCs w:val="24"/>
        </w:rPr>
        <w:t>оплачено</w:t>
      </w:r>
      <w:proofErr w:type="spellEnd"/>
      <w:r w:rsidR="00E14705" w:rsidRPr="00C265BB">
        <w:rPr>
          <w:rFonts w:eastAsia="Calibri"/>
          <w:color w:val="000000"/>
          <w:sz w:val="24"/>
          <w:szCs w:val="24"/>
        </w:rPr>
        <w:t xml:space="preserve"> Замовником, — вимагати повернення сплаченої суми.</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5.4</w:t>
      </w:r>
      <w:r w:rsidR="00E14705" w:rsidRPr="00C265BB">
        <w:rPr>
          <w:rFonts w:eastAsia="Calibri"/>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5.5</w:t>
      </w:r>
      <w:r w:rsidR="00E14705" w:rsidRPr="00C265BB">
        <w:rPr>
          <w:rFonts w:eastAsia="Calibri"/>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lastRenderedPageBreak/>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lastRenderedPageBreak/>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265BB">
        <w:rPr>
          <w:rFonts w:eastAsia="Calibri"/>
          <w:color w:val="000000"/>
          <w:sz w:val="24"/>
          <w:szCs w:val="24"/>
        </w:rPr>
        <w:lastRenderedPageBreak/>
        <w:t xml:space="preserve">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Pr="00C265BB" w:rsidRDefault="00E14705" w:rsidP="00FA34CD">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w:t>
      </w:r>
      <w:r w:rsidR="00FA34CD">
        <w:rPr>
          <w:rFonts w:eastAsia="Calibri"/>
          <w:color w:val="000000"/>
          <w:sz w:val="24"/>
          <w:szCs w:val="24"/>
        </w:rPr>
        <w:t>,</w:t>
      </w:r>
      <w:r w:rsidRPr="00C265BB">
        <w:rPr>
          <w:rFonts w:eastAsia="Calibri"/>
          <w:color w:val="000000"/>
          <w:sz w:val="24"/>
          <w:szCs w:val="24"/>
        </w:rPr>
        <w:t xml:space="preserve">  не має бути походженням з Російської Федерації/Республіки Білорусь</w:t>
      </w:r>
      <w:r w:rsidR="00B362E6">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FC10CA">
        <w:rPr>
          <w:rFonts w:eastAsia="Calibri"/>
          <w:color w:val="000000"/>
          <w:sz w:val="24"/>
          <w:szCs w:val="24"/>
        </w:rPr>
        <w:t>/</w:t>
      </w:r>
      <w:r w:rsidR="00FC10CA" w:rsidRPr="00FC10CA">
        <w:rPr>
          <w:rFonts w:eastAsia="Calibri"/>
          <w:color w:val="000000"/>
          <w:sz w:val="24"/>
          <w:szCs w:val="24"/>
        </w:rPr>
        <w:t xml:space="preserve"> </w:t>
      </w:r>
      <w:r w:rsidR="00FC10CA">
        <w:rPr>
          <w:rFonts w:eastAsia="Calibri"/>
          <w:color w:val="000000"/>
          <w:sz w:val="24"/>
          <w:szCs w:val="24"/>
        </w:rPr>
        <w:t>Ісламської Республіки Іран,</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lastRenderedPageBreak/>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C265BB">
        <w:rPr>
          <w:rFonts w:eastAsia="Calibri"/>
          <w:color w:val="000000"/>
          <w:sz w:val="24"/>
          <w:szCs w:val="24"/>
        </w:rPr>
        <w:t>проток</w:t>
      </w:r>
      <w:proofErr w:type="spellEnd"/>
      <w:r w:rsidRPr="00C265BB">
        <w:rPr>
          <w:rFonts w:eastAsia="Calibri"/>
          <w:color w:val="000000"/>
          <w:sz w:val="24"/>
          <w:szCs w:val="24"/>
        </w:rPr>
        <w:t>,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C265BB">
        <w:rPr>
          <w:rFonts w:eastAsia="Calibri"/>
          <w:color w:val="000000"/>
          <w:sz w:val="24"/>
          <w:szCs w:val="24"/>
        </w:rPr>
        <w:t>проток</w:t>
      </w:r>
      <w:proofErr w:type="spellEnd"/>
      <w:r w:rsidRPr="00C265BB">
        <w:rPr>
          <w:rFonts w:eastAsia="Calibri"/>
          <w:color w:val="000000"/>
          <w:sz w:val="24"/>
          <w:szCs w:val="24"/>
        </w:rPr>
        <w:t>,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lastRenderedPageBreak/>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265BB">
        <w:rPr>
          <w:rFonts w:eastAsia="Calibri"/>
          <w:sz w:val="24"/>
          <w:szCs w:val="24"/>
        </w:rPr>
        <w:t>закупівель</w:t>
      </w:r>
      <w:proofErr w:type="spellEnd"/>
      <w:r w:rsidRPr="00C265BB">
        <w:rPr>
          <w:rFonts w:eastAsia="Calibri"/>
          <w:sz w:val="24"/>
          <w:szCs w:val="24"/>
        </w:rPr>
        <w:t>.</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Default="00E14705" w:rsidP="00E14705">
      <w:pPr>
        <w:spacing w:after="0" w:line="240" w:lineRule="auto"/>
        <w:ind w:firstLine="567"/>
        <w:jc w:val="both"/>
        <w:rPr>
          <w:rFonts w:eastAsia="Calibri"/>
          <w:sz w:val="24"/>
          <w:szCs w:val="24"/>
        </w:rPr>
      </w:pP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lastRenderedPageBreak/>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E14705" w:rsidP="005C1675">
      <w:pPr>
        <w:spacing w:after="0" w:line="240" w:lineRule="auto"/>
        <w:jc w:val="center"/>
        <w:rPr>
          <w:rFonts w:eastAsia="Calibri"/>
          <w:b/>
          <w:color w:val="000000"/>
          <w:sz w:val="24"/>
          <w:szCs w:val="24"/>
        </w:rPr>
      </w:pPr>
      <w:r w:rsidRPr="00C265BB">
        <w:rPr>
          <w:rFonts w:eastAsia="Calibri"/>
          <w:b/>
          <w:color w:val="000000"/>
          <w:sz w:val="24"/>
          <w:szCs w:val="24"/>
        </w:rPr>
        <w:br w:type="column"/>
      </w:r>
      <w:r w:rsidR="005C1675" w:rsidRPr="00C265BB">
        <w:rPr>
          <w:rFonts w:eastAsia="Calibri"/>
          <w:b/>
          <w:color w:val="000000"/>
          <w:sz w:val="24"/>
          <w:szCs w:val="24"/>
        </w:rPr>
        <w:lastRenderedPageBreak/>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1" w:name="_heading=h.1y810tw" w:colFirst="0" w:colLast="0"/>
            <w:bookmarkEnd w:id="1"/>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803226690000026003300520451</w:t>
            </w:r>
          </w:p>
          <w:p w:rsidR="005C1675" w:rsidRPr="00C265BB" w:rsidRDefault="005C1675" w:rsidP="005374DB">
            <w:pPr>
              <w:spacing w:after="0"/>
              <w:rPr>
                <w:sz w:val="24"/>
                <w:szCs w:val="24"/>
              </w:rPr>
            </w:pPr>
            <w:r w:rsidRPr="00C265BB">
              <w:rPr>
                <w:sz w:val="24"/>
                <w:szCs w:val="24"/>
              </w:rPr>
              <w:t>Банк АТ «Ощадбанк» ТВБВ №10026/0594</w:t>
            </w:r>
          </w:p>
          <w:p w:rsidR="005C1675" w:rsidRPr="00C265BB" w:rsidRDefault="005C1675" w:rsidP="005374DB">
            <w:pPr>
              <w:spacing w:after="0"/>
              <w:rPr>
                <w:sz w:val="24"/>
                <w:szCs w:val="24"/>
              </w:rPr>
            </w:pPr>
            <w:r w:rsidRPr="00C265BB">
              <w:rPr>
                <w:sz w:val="24"/>
                <w:szCs w:val="24"/>
              </w:rPr>
              <w:t>МФО 322669</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lastRenderedPageBreak/>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2.</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pBdr>
                <w:top w:val="nil"/>
                <w:left w:val="nil"/>
                <w:bottom w:val="nil"/>
                <w:right w:val="nil"/>
                <w:between w:val="nil"/>
              </w:pBd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pBdr>
          <w:top w:val="nil"/>
          <w:left w:val="nil"/>
          <w:bottom w:val="nil"/>
          <w:right w:val="nil"/>
          <w:between w:val="nil"/>
        </w:pBdr>
        <w:spacing w:after="0" w:line="240" w:lineRule="auto"/>
        <w:jc w:val="both"/>
        <w:rPr>
          <w:rFonts w:eastAsia="Calibri"/>
          <w:sz w:val="24"/>
          <w:szCs w:val="24"/>
        </w:rPr>
      </w:pPr>
    </w:p>
    <w:p w:rsidR="005C1675" w:rsidRPr="00C265BB" w:rsidRDefault="005C1675" w:rsidP="005C1675">
      <w:pPr>
        <w:spacing w:after="0" w:line="240" w:lineRule="auto"/>
        <w:rPr>
          <w:rFonts w:eastAsia="Calibri"/>
          <w:b/>
          <w:sz w:val="24"/>
          <w:szCs w:val="24"/>
        </w:rPr>
      </w:pPr>
    </w:p>
    <w:p w:rsidR="005C1675" w:rsidRPr="00C265BB" w:rsidRDefault="005C1675" w:rsidP="005C1675">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 xml:space="preserve"> 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803226690000026003300520451</w:t>
            </w:r>
          </w:p>
          <w:p w:rsidR="005C1675" w:rsidRPr="00C265BB" w:rsidRDefault="005C1675" w:rsidP="005374DB">
            <w:pPr>
              <w:spacing w:after="0"/>
              <w:rPr>
                <w:sz w:val="24"/>
                <w:szCs w:val="24"/>
              </w:rPr>
            </w:pPr>
            <w:r w:rsidRPr="00C265BB">
              <w:rPr>
                <w:sz w:val="24"/>
                <w:szCs w:val="24"/>
              </w:rPr>
              <w:t>Банк АТ «Ощадбанк» ТВБВ №10026/0594</w:t>
            </w:r>
          </w:p>
          <w:p w:rsidR="005C1675" w:rsidRPr="00C265BB" w:rsidRDefault="005C1675" w:rsidP="005374DB">
            <w:pPr>
              <w:spacing w:after="0"/>
              <w:rPr>
                <w:sz w:val="24"/>
                <w:szCs w:val="24"/>
              </w:rPr>
            </w:pPr>
            <w:r w:rsidRPr="00C265BB">
              <w:rPr>
                <w:sz w:val="24"/>
                <w:szCs w:val="24"/>
              </w:rPr>
              <w:t>МФО 322669</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 xml:space="preserve">Директор </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F"/>
    <w:rsid w:val="000018C6"/>
    <w:rsid w:val="000B6D9C"/>
    <w:rsid w:val="00234042"/>
    <w:rsid w:val="002E1B77"/>
    <w:rsid w:val="003315A1"/>
    <w:rsid w:val="00364952"/>
    <w:rsid w:val="0038543E"/>
    <w:rsid w:val="00416F1B"/>
    <w:rsid w:val="00435686"/>
    <w:rsid w:val="004703D7"/>
    <w:rsid w:val="004B077C"/>
    <w:rsid w:val="00507592"/>
    <w:rsid w:val="00551920"/>
    <w:rsid w:val="00564F41"/>
    <w:rsid w:val="00594F53"/>
    <w:rsid w:val="005C1675"/>
    <w:rsid w:val="005C7E0B"/>
    <w:rsid w:val="0066461F"/>
    <w:rsid w:val="00670352"/>
    <w:rsid w:val="00936308"/>
    <w:rsid w:val="00985342"/>
    <w:rsid w:val="00A75B80"/>
    <w:rsid w:val="00AD0313"/>
    <w:rsid w:val="00AF3D44"/>
    <w:rsid w:val="00B362E6"/>
    <w:rsid w:val="00BC5AB1"/>
    <w:rsid w:val="00C5141E"/>
    <w:rsid w:val="00CD5788"/>
    <w:rsid w:val="00D10220"/>
    <w:rsid w:val="00D2012B"/>
    <w:rsid w:val="00E00A19"/>
    <w:rsid w:val="00E14705"/>
    <w:rsid w:val="00EF325F"/>
    <w:rsid w:val="00F765AA"/>
    <w:rsid w:val="00FA34CD"/>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A92"/>
  <w15:chartTrackingRefBased/>
  <w15:docId w15:val="{629DEBDC-42C0-44AE-82D4-9B470A8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CB9A-CFA5-438B-A325-D18F5A67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2023-12-14T10:05:00Z</dcterms:created>
  <dcterms:modified xsi:type="dcterms:W3CDTF">2024-02-15T10:46:00Z</dcterms:modified>
</cp:coreProperties>
</file>