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EA2C570"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commentRangeStart w:id="1"/>
      <w:r w:rsidR="00AB19EB">
        <w:rPr>
          <w:rFonts w:ascii="Times New Roman" w:hAnsi="Times New Roman" w:cs="Times New Roman"/>
          <w:b/>
          <w:color w:val="000000"/>
          <w:sz w:val="24"/>
          <w:szCs w:val="24"/>
          <w:bdr w:val="none" w:sz="0" w:space="0" w:color="auto" w:frame="1"/>
        </w:rPr>
        <w:t>07</w:t>
      </w:r>
      <w:commentRangeEnd w:id="1"/>
      <w:r w:rsidR="00EA3D29">
        <w:rPr>
          <w:rStyle w:val="af6"/>
        </w:rPr>
        <w:commentReference w:id="1"/>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Настаскін</w:t>
      </w:r>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2B116995" w14:textId="77777777" w:rsidR="00EA3D29"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процедура закупiвлi: вiдкритi торги</w:t>
      </w:r>
      <w:r w:rsidR="0043514D">
        <w:rPr>
          <w:rFonts w:ascii="Times New Roman" w:hAnsi="Times New Roman" w:cs="Times New Roman"/>
          <w:b/>
          <w:color w:val="000000"/>
          <w:sz w:val="32"/>
          <w:szCs w:val="32"/>
          <w:u w:val="single"/>
          <w:bdr w:val="none" w:sz="0" w:space="0" w:color="auto" w:frame="1"/>
        </w:rPr>
        <w:t xml:space="preserve"> з особливостями</w:t>
      </w:r>
    </w:p>
    <w:p w14:paraId="67843DDD" w14:textId="560C372B" w:rsidR="00887788" w:rsidRDefault="00643401"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 </w:t>
      </w:r>
    </w:p>
    <w:p w14:paraId="56EB064C" w14:textId="77777777" w:rsidR="00EA3D29" w:rsidRPr="00686C82" w:rsidRDefault="00EA3D29"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Pr>
          <w:rStyle w:val="af6"/>
        </w:rPr>
        <w:commentReference w:id="2"/>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22AFC366" w14:textId="77777777" w:rsidR="00AB19EB" w:rsidRPr="00EA3D29" w:rsidRDefault="006A07FF" w:rsidP="00AB19EB">
      <w:pPr>
        <w:shd w:val="clear" w:color="auto" w:fill="FFFFFF"/>
        <w:jc w:val="center"/>
        <w:textAlignment w:val="baseline"/>
        <w:rPr>
          <w:rFonts w:ascii="Times New Roman" w:hAnsi="Times New Roman" w:cs="Times New Roman"/>
          <w:b/>
          <w:color w:val="000000"/>
          <w:sz w:val="36"/>
          <w:szCs w:val="36"/>
          <w:bdr w:val="none" w:sz="0" w:space="0" w:color="auto" w:frame="1"/>
          <w:lang w:val="ru-RU"/>
        </w:rPr>
      </w:pPr>
      <w:r w:rsidRPr="006A07FF">
        <w:rPr>
          <w:rFonts w:ascii="Times New Roman" w:hAnsi="Times New Roman" w:cs="Times New Roman"/>
          <w:b/>
          <w:color w:val="000000"/>
          <w:sz w:val="36"/>
          <w:szCs w:val="36"/>
          <w:bdr w:val="none" w:sz="0" w:space="0" w:color="auto" w:frame="1"/>
        </w:rPr>
        <w:t xml:space="preserve">Код ДК 021:2015: </w:t>
      </w:r>
      <w:r w:rsidR="00AB19EB" w:rsidRPr="00AB19EB">
        <w:rPr>
          <w:rFonts w:ascii="Times New Roman" w:hAnsi="Times New Roman" w:cs="Times New Roman"/>
          <w:b/>
          <w:color w:val="000000"/>
          <w:sz w:val="36"/>
          <w:szCs w:val="36"/>
          <w:bdr w:val="none" w:sz="0" w:space="0" w:color="auto" w:frame="1"/>
        </w:rPr>
        <w:t>33120000-7: Системи реєстрації медичної інформації та дослідне обладнання</w:t>
      </w:r>
      <w:r w:rsidR="0083051F" w:rsidRPr="0083051F">
        <w:rPr>
          <w:rFonts w:ascii="Times New Roman" w:hAnsi="Times New Roman" w:cs="Times New Roman"/>
          <w:b/>
          <w:color w:val="000000"/>
          <w:sz w:val="36"/>
          <w:szCs w:val="36"/>
          <w:bdr w:val="none" w:sz="0" w:space="0" w:color="auto" w:frame="1"/>
        </w:rPr>
        <w:t xml:space="preserve"> </w:t>
      </w:r>
    </w:p>
    <w:p w14:paraId="654094A7" w14:textId="4BE7DD6C" w:rsidR="00001C78" w:rsidRPr="00AB19EB" w:rsidRDefault="00001C78" w:rsidP="00AB19EB">
      <w:pPr>
        <w:shd w:val="clear" w:color="auto" w:fill="FFFFFF"/>
        <w:jc w:val="center"/>
        <w:textAlignment w:val="baseline"/>
        <w:rPr>
          <w:rFonts w:ascii="Times New Roman" w:hAnsi="Times New Roman" w:cs="Times New Roman"/>
          <w:b/>
          <w:color w:val="000000"/>
          <w:sz w:val="36"/>
          <w:szCs w:val="36"/>
          <w:bdr w:val="none" w:sz="0" w:space="0" w:color="auto" w:frame="1"/>
          <w:lang w:val="ru-RU"/>
        </w:rPr>
      </w:pPr>
      <w:r>
        <w:rPr>
          <w:rFonts w:ascii="Times New Roman" w:hAnsi="Times New Roman" w:cs="Times New Roman"/>
          <w:b/>
          <w:color w:val="000000"/>
          <w:sz w:val="36"/>
          <w:szCs w:val="36"/>
          <w:bdr w:val="none" w:sz="0" w:space="0" w:color="auto" w:frame="1"/>
        </w:rPr>
        <w:t>(</w:t>
      </w:r>
      <w:r w:rsidR="00AB19EB" w:rsidRPr="00AB19EB">
        <w:rPr>
          <w:rFonts w:ascii="Times New Roman" w:hAnsi="Times New Roman" w:cs="Times New Roman"/>
          <w:b/>
          <w:color w:val="000000"/>
          <w:sz w:val="36"/>
          <w:szCs w:val="36"/>
          <w:bdr w:val="none" w:sz="0" w:space="0" w:color="auto" w:frame="1"/>
        </w:rPr>
        <w:t xml:space="preserve">33121500-9 </w:t>
      </w:r>
      <w:r w:rsidR="00AB19EB">
        <w:rPr>
          <w:rFonts w:ascii="Times New Roman" w:hAnsi="Times New Roman" w:cs="Times New Roman"/>
          <w:b/>
          <w:color w:val="000000"/>
          <w:sz w:val="36"/>
          <w:szCs w:val="36"/>
          <w:bdr w:val="none" w:sz="0" w:space="0" w:color="auto" w:frame="1"/>
        </w:rPr>
        <w:t>–</w:t>
      </w:r>
      <w:r w:rsidR="00AB19EB" w:rsidRPr="00AB19EB">
        <w:rPr>
          <w:rFonts w:ascii="Times New Roman" w:hAnsi="Times New Roman" w:cs="Times New Roman"/>
          <w:b/>
          <w:color w:val="000000"/>
          <w:sz w:val="36"/>
          <w:szCs w:val="36"/>
          <w:bdr w:val="none" w:sz="0" w:space="0" w:color="auto" w:frame="1"/>
        </w:rPr>
        <w:t xml:space="preserve"> Електрокардіографи</w:t>
      </w:r>
      <w:r w:rsidR="00AB19EB" w:rsidRPr="00AB19EB">
        <w:rPr>
          <w:rFonts w:ascii="Times New Roman" w:hAnsi="Times New Roman" w:cs="Times New Roman"/>
          <w:b/>
          <w:color w:val="000000"/>
          <w:sz w:val="36"/>
          <w:szCs w:val="36"/>
          <w:bdr w:val="none" w:sz="0" w:space="0" w:color="auto" w:frame="1"/>
          <w:lang w:val="ru-RU"/>
        </w:rPr>
        <w:t>)</w:t>
      </w:r>
    </w:p>
    <w:p w14:paraId="0870913F" w14:textId="75520176"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НК 024:2019: </w:t>
      </w:r>
      <w:r w:rsidR="0083051F" w:rsidRPr="0083051F">
        <w:rPr>
          <w:rFonts w:ascii="Times New Roman" w:hAnsi="Times New Roman" w:cs="Times New Roman"/>
          <w:b/>
          <w:color w:val="000000"/>
          <w:sz w:val="36"/>
          <w:szCs w:val="36"/>
          <w:bdr w:val="none" w:sz="0" w:space="0" w:color="auto" w:frame="1"/>
        </w:rPr>
        <w:t>33586 — Система моніторингу фізіологічних показників одного пацієнта</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6CCBA438" w:rsidR="005C5C83" w:rsidRPr="00AB19EB" w:rsidRDefault="00AB19EB" w:rsidP="005C5C83">
      <w:pPr>
        <w:pStyle w:val="a7"/>
        <w:spacing w:line="240" w:lineRule="auto"/>
        <w:ind w:firstLine="0"/>
        <w:jc w:val="center"/>
        <w:rPr>
          <w:b/>
        </w:rPr>
      </w:pPr>
      <w:r>
        <w:rPr>
          <w:rFonts w:eastAsia="Calibri"/>
          <w:b/>
          <w:sz w:val="36"/>
          <w:szCs w:val="36"/>
        </w:rPr>
        <w:t>Електрокардіограф</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EA3D29">
      <w:pPr>
        <w:pStyle w:val="a7"/>
        <w:spacing w:line="240" w:lineRule="auto"/>
        <w:ind w:firstLine="0"/>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3"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3"/>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Настаскін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E-mail: </w:t>
            </w:r>
            <w:hyperlink r:id="rId10"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2BF78E48"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 xml:space="preserve">Код ДК 021:2015: 33120000-7: Системи реєстрації медичної інформації та дослідне обладнання </w:t>
            </w:r>
          </w:p>
          <w:p w14:paraId="531A2CA8"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(33121500-9 – Електрокардіографи)</w:t>
            </w:r>
          </w:p>
          <w:p w14:paraId="2E301454"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Код НК 024:2019: 33586 — Система моніторингу фізіологічних показників одного пацієнта</w:t>
            </w:r>
          </w:p>
          <w:p w14:paraId="0588B88E"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691CD17C" w:rsidR="002049E6" w:rsidRPr="00C30F61" w:rsidRDefault="00AB19EB" w:rsidP="00AB19EB">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AB19EB">
              <w:rPr>
                <w:rFonts w:ascii="Times New Roman" w:hAnsi="Times New Roman" w:cs="Times New Roman"/>
                <w:bCs/>
                <w:color w:val="000000"/>
                <w:sz w:val="24"/>
                <w:szCs w:val="24"/>
                <w:bdr w:val="none" w:sz="0" w:space="0" w:color="auto" w:frame="1"/>
              </w:rPr>
              <w:t>Електрокардіограф</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87C755E"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1 </w:t>
            </w:r>
            <w:r w:rsidR="00AA41EE">
              <w:rPr>
                <w:b/>
                <w:bCs/>
                <w:color w:val="000000"/>
                <w:sz w:val="24"/>
                <w:szCs w:val="24"/>
                <w:lang w:eastAsia="uk-UA"/>
              </w:rPr>
              <w:t>шт</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lastRenderedPageBreak/>
              <w:t>Місце поставки:</w:t>
            </w:r>
            <w:r w:rsidRPr="001A17BC">
              <w:rPr>
                <w:color w:val="000000"/>
                <w:sz w:val="24"/>
                <w:szCs w:val="24"/>
                <w:lang w:eastAsia="uk-UA"/>
              </w:rPr>
              <w:t xml:space="preserve"> </w:t>
            </w:r>
            <w:r w:rsidR="00643401" w:rsidRPr="001A17BC">
              <w:rPr>
                <w:color w:val="000000"/>
                <w:sz w:val="24"/>
                <w:szCs w:val="24"/>
                <w:lang w:eastAsia="uk-UA"/>
              </w:rPr>
              <w:t>23700. Україна, Вінницька  обл,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4"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4"/>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5"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5"/>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скан-копій придатних для машинозчитування (файли з розширенням «..pdf.», «..jpeg.»,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документів, згідно яких виготовляються такі скан-копії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27264BB"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commentRangeStart w:id="7"/>
            <w:r w:rsidR="00AB19EB">
              <w:rPr>
                <w:rFonts w:ascii="Times New Roman" w:eastAsia="Times New Roman" w:hAnsi="Times New Roman" w:cs="Times New Roman"/>
                <w:b/>
                <w:bCs/>
                <w:color w:val="000000"/>
                <w:sz w:val="24"/>
                <w:szCs w:val="24"/>
              </w:rPr>
              <w:t>21</w:t>
            </w:r>
            <w:commentRangeEnd w:id="7"/>
            <w:r w:rsidR="00EA3D29">
              <w:rPr>
                <w:rStyle w:val="af6"/>
              </w:rPr>
              <w:commentReference w:id="7"/>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r w:rsidRPr="00DE4ECE">
              <w:rPr>
                <w:rFonts w:ascii="Times New Roman" w:eastAsia="Times New Roman" w:hAnsi="Times New Roman" w:cs="Times New Roman"/>
                <w:color w:val="000000"/>
                <w:sz w:val="24"/>
                <w:szCs w:val="24"/>
                <w:lang w:val="ru-RU" w:eastAsia="ru-RU"/>
              </w:rPr>
              <w:t>Отримана тендерна пропозиція вноситься автоматично до реєстру отриманих тендерних пропозицій,</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r w:rsidRPr="00DE4ECE">
              <w:rPr>
                <w:rFonts w:ascii="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6"/>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1"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Держаудитслужба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9" w:name="n294"/>
            <w:bookmarkStart w:id="10" w:name="n295"/>
            <w:bookmarkStart w:id="11" w:name="n297"/>
            <w:bookmarkStart w:id="12" w:name="n298"/>
            <w:bookmarkStart w:id="13" w:name="n299"/>
            <w:bookmarkEnd w:id="9"/>
            <w:bookmarkEnd w:id="10"/>
            <w:bookmarkEnd w:id="11"/>
            <w:bookmarkEnd w:id="12"/>
            <w:bookmarkEnd w:id="13"/>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745E1F" w:rsidRPr="006C0E3A">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r w:rsidRPr="006C0E3A">
              <w:rPr>
                <w:color w:val="000000"/>
              </w:rPr>
              <w:t xml:space="preserve">Рішення про намір укласти </w:t>
            </w:r>
            <w:r w:rsidR="001C329D" w:rsidRPr="006C0E3A">
              <w:rPr>
                <w:color w:val="000000"/>
              </w:rPr>
              <w:t>договір про закупівлю приймається</w:t>
            </w:r>
            <w:r w:rsidR="00C540DF">
              <w:rPr>
                <w:color w:val="000000"/>
                <w:lang w:val="uk-UA"/>
              </w:rPr>
              <w:t xml:space="preserve"> </w:t>
            </w:r>
            <w:r w:rsidRPr="006C0E3A">
              <w:rPr>
                <w:color w:val="000000"/>
              </w:rPr>
              <w:t xml:space="preserve">замовником відповідно до положень, визначених статтею 33 Закону та пунктом 46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«м.київ» замість «м.Київ»;</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-ок» замість «поря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«ненадається»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 xml:space="preserve">кт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проєкті,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2"/>
      <w:headerReference w:type="default" r:id="rId13"/>
      <w:footerReference w:type="even" r:id="rId14"/>
      <w:footerReference w:type="default" r:id="rId15"/>
      <w:headerReference w:type="first" r:id="rId16"/>
      <w:footerReference w:type="first" r:id="rId17"/>
      <w:pgSz w:w="11906" w:h="16838"/>
      <w:pgMar w:top="709" w:right="567" w:bottom="1134" w:left="1701" w:header="709" w:footer="709"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Сергей" w:date="2023-03-15T13:52:00Z" w:initials="С">
    <w:p w14:paraId="5AE28534" w14:textId="37860242" w:rsidR="00EA3D29" w:rsidRDefault="00EA3D29">
      <w:pPr>
        <w:pStyle w:val="af7"/>
      </w:pPr>
      <w:r>
        <w:rPr>
          <w:rStyle w:val="af6"/>
        </w:rPr>
        <w:annotationRef/>
      </w:r>
      <w:r>
        <w:t>Змінено на «15.03.2023 року»</w:t>
      </w:r>
    </w:p>
  </w:comment>
  <w:comment w:id="2" w:author="Сергей" w:date="2023-03-15T13:53:00Z" w:initials="С">
    <w:p w14:paraId="115D7D6F" w14:textId="4B86CF3A" w:rsidR="00EA3D29" w:rsidRDefault="00EA3D29">
      <w:pPr>
        <w:pStyle w:val="af7"/>
      </w:pPr>
      <w:r>
        <w:rPr>
          <w:rStyle w:val="af6"/>
        </w:rPr>
        <w:annotationRef/>
      </w:r>
      <w:r>
        <w:t>Добавлено: «НОВА РЕДАКЦІЯ»</w:t>
      </w:r>
    </w:p>
  </w:comment>
  <w:comment w:id="7" w:author="Сергей" w:date="2023-03-15T13:54:00Z" w:initials="С">
    <w:p w14:paraId="0DC8C5EE" w14:textId="53A24238" w:rsidR="00EA3D29" w:rsidRDefault="00EA3D29">
      <w:pPr>
        <w:pStyle w:val="af7"/>
      </w:pPr>
      <w:r>
        <w:rPr>
          <w:rStyle w:val="af6"/>
        </w:rPr>
        <w:annotationRef/>
      </w:r>
      <w:r>
        <w:t>Змінено на: «23.03.2023 р. 10:00</w:t>
      </w:r>
      <w:bookmarkStart w:id="8" w:name="_GoBack"/>
      <w:bookmarkEnd w:id="8"/>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1698" w14:textId="77777777" w:rsidR="00252C31" w:rsidRDefault="00252C31">
      <w:r>
        <w:separator/>
      </w:r>
    </w:p>
  </w:endnote>
  <w:endnote w:type="continuationSeparator" w:id="0">
    <w:p w14:paraId="5EE99C32" w14:textId="77777777" w:rsidR="00252C31" w:rsidRDefault="0025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1D82" w14:textId="77777777" w:rsidR="00252C31" w:rsidRDefault="00252C31">
      <w:r>
        <w:separator/>
      </w:r>
    </w:p>
  </w:footnote>
  <w:footnote w:type="continuationSeparator" w:id="0">
    <w:p w14:paraId="0A119901" w14:textId="77777777" w:rsidR="00252C31" w:rsidRDefault="0025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3D29">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2C3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19EB"/>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A3D29"/>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EA3D29"/>
    <w:rPr>
      <w:sz w:val="16"/>
      <w:szCs w:val="16"/>
    </w:rPr>
  </w:style>
  <w:style w:type="paragraph" w:styleId="af7">
    <w:name w:val="annotation text"/>
    <w:basedOn w:val="a"/>
    <w:link w:val="af8"/>
    <w:uiPriority w:val="99"/>
    <w:semiHidden/>
    <w:unhideWhenUsed/>
    <w:rsid w:val="00EA3D29"/>
  </w:style>
  <w:style w:type="character" w:customStyle="1" w:styleId="af8">
    <w:name w:val="Текст примечания Знак"/>
    <w:basedOn w:val="a0"/>
    <w:link w:val="af7"/>
    <w:uiPriority w:val="99"/>
    <w:semiHidden/>
    <w:rsid w:val="00EA3D29"/>
  </w:style>
  <w:style w:type="paragraph" w:styleId="af9">
    <w:name w:val="annotation subject"/>
    <w:basedOn w:val="af7"/>
    <w:next w:val="af7"/>
    <w:link w:val="afa"/>
    <w:uiPriority w:val="99"/>
    <w:semiHidden/>
    <w:unhideWhenUsed/>
    <w:rsid w:val="00EA3D29"/>
    <w:rPr>
      <w:b/>
      <w:bCs/>
    </w:rPr>
  </w:style>
  <w:style w:type="character" w:customStyle="1" w:styleId="afa">
    <w:name w:val="Тема примечания Знак"/>
    <w:basedOn w:val="af8"/>
    <w:link w:val="af9"/>
    <w:uiPriority w:val="99"/>
    <w:semiHidden/>
    <w:rsid w:val="00EA3D29"/>
    <w:rPr>
      <w:b/>
      <w:bCs/>
    </w:rPr>
  </w:style>
  <w:style w:type="paragraph" w:styleId="afb">
    <w:name w:val="Balloon Text"/>
    <w:basedOn w:val="a"/>
    <w:link w:val="afc"/>
    <w:uiPriority w:val="99"/>
    <w:semiHidden/>
    <w:unhideWhenUsed/>
    <w:rsid w:val="00EA3D29"/>
    <w:rPr>
      <w:rFonts w:ascii="Tahoma" w:hAnsi="Tahoma" w:cs="Tahoma"/>
      <w:sz w:val="16"/>
      <w:szCs w:val="16"/>
    </w:rPr>
  </w:style>
  <w:style w:type="character" w:customStyle="1" w:styleId="afc">
    <w:name w:val="Текст выноски Знак"/>
    <w:basedOn w:val="a0"/>
    <w:link w:val="afb"/>
    <w:uiPriority w:val="99"/>
    <w:semiHidden/>
    <w:rsid w:val="00EA3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EA3D29"/>
    <w:rPr>
      <w:sz w:val="16"/>
      <w:szCs w:val="16"/>
    </w:rPr>
  </w:style>
  <w:style w:type="paragraph" w:styleId="af7">
    <w:name w:val="annotation text"/>
    <w:basedOn w:val="a"/>
    <w:link w:val="af8"/>
    <w:uiPriority w:val="99"/>
    <w:semiHidden/>
    <w:unhideWhenUsed/>
    <w:rsid w:val="00EA3D29"/>
  </w:style>
  <w:style w:type="character" w:customStyle="1" w:styleId="af8">
    <w:name w:val="Текст примечания Знак"/>
    <w:basedOn w:val="a0"/>
    <w:link w:val="af7"/>
    <w:uiPriority w:val="99"/>
    <w:semiHidden/>
    <w:rsid w:val="00EA3D29"/>
  </w:style>
  <w:style w:type="paragraph" w:styleId="af9">
    <w:name w:val="annotation subject"/>
    <w:basedOn w:val="af7"/>
    <w:next w:val="af7"/>
    <w:link w:val="afa"/>
    <w:uiPriority w:val="99"/>
    <w:semiHidden/>
    <w:unhideWhenUsed/>
    <w:rsid w:val="00EA3D29"/>
    <w:rPr>
      <w:b/>
      <w:bCs/>
    </w:rPr>
  </w:style>
  <w:style w:type="character" w:customStyle="1" w:styleId="afa">
    <w:name w:val="Тема примечания Знак"/>
    <w:basedOn w:val="af8"/>
    <w:link w:val="af9"/>
    <w:uiPriority w:val="99"/>
    <w:semiHidden/>
    <w:rsid w:val="00EA3D29"/>
    <w:rPr>
      <w:b/>
      <w:bCs/>
    </w:rPr>
  </w:style>
  <w:style w:type="paragraph" w:styleId="afb">
    <w:name w:val="Balloon Text"/>
    <w:basedOn w:val="a"/>
    <w:link w:val="afc"/>
    <w:uiPriority w:val="99"/>
    <w:semiHidden/>
    <w:unhideWhenUsed/>
    <w:rsid w:val="00EA3D29"/>
    <w:rPr>
      <w:rFonts w:ascii="Tahoma" w:hAnsi="Tahoma" w:cs="Tahoma"/>
      <w:sz w:val="16"/>
      <w:szCs w:val="16"/>
    </w:rPr>
  </w:style>
  <w:style w:type="character" w:customStyle="1" w:styleId="afc">
    <w:name w:val="Текст выноски Знак"/>
    <w:basedOn w:val="a0"/>
    <w:link w:val="afb"/>
    <w:uiPriority w:val="99"/>
    <w:semiHidden/>
    <w:rsid w:val="00EA3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find=1&amp;text=%D0%B2%D1%96%D0%BB%D1%8C%D0%BD%D0%B8%D0%B9+%D0%B4%D0%BE%D1%81%D1%82%D1%83%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staskin@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8073</Words>
  <Characters>46020</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cp:revision>
  <cp:lastPrinted>2022-09-16T09:51:00Z</cp:lastPrinted>
  <dcterms:created xsi:type="dcterms:W3CDTF">2023-03-15T11:54:00Z</dcterms:created>
  <dcterms:modified xsi:type="dcterms:W3CDTF">2023-03-15T11:54:00Z</dcterms:modified>
</cp:coreProperties>
</file>