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2A596B" w:rsidRPr="002A596B" w:rsidRDefault="00663A19" w:rsidP="00663A19">
      <w:pPr>
        <w:tabs>
          <w:tab w:val="left" w:pos="2317"/>
        </w:tabs>
        <w:jc w:val="center"/>
        <w:rPr>
          <w:rFonts w:ascii="Times New Roman" w:hAnsi="Times New Roman" w:cs="Times New Roman"/>
          <w:b/>
          <w:bCs/>
          <w:color w:val="auto"/>
          <w:sz w:val="24"/>
          <w:szCs w:val="24"/>
          <w:lang w:val="uk-UA"/>
        </w:rPr>
      </w:pPr>
      <w:r w:rsidRPr="00663A19">
        <w:rPr>
          <w:rFonts w:ascii="Times New Roman" w:hAnsi="Times New Roman" w:cs="Times New Roman"/>
          <w:b/>
          <w:bCs/>
          <w:color w:val="auto"/>
          <w:sz w:val="24"/>
          <w:szCs w:val="24"/>
          <w:lang w:val="uk-UA"/>
        </w:rPr>
        <w:t xml:space="preserve">Капітальний ремонт будівлі будинку творчості дітей та юнацтва </w:t>
      </w:r>
      <w:proofErr w:type="spellStart"/>
      <w:r w:rsidRPr="00663A19">
        <w:rPr>
          <w:rFonts w:ascii="Times New Roman" w:hAnsi="Times New Roman" w:cs="Times New Roman"/>
          <w:b/>
          <w:bCs/>
          <w:color w:val="auto"/>
          <w:sz w:val="24"/>
          <w:szCs w:val="24"/>
          <w:lang w:val="uk-UA"/>
        </w:rPr>
        <w:t>Інгульського</w:t>
      </w:r>
      <w:proofErr w:type="spellEnd"/>
      <w:r w:rsidRPr="00663A19">
        <w:rPr>
          <w:rFonts w:ascii="Times New Roman" w:hAnsi="Times New Roman" w:cs="Times New Roman"/>
          <w:b/>
          <w:bCs/>
          <w:color w:val="auto"/>
          <w:sz w:val="24"/>
          <w:szCs w:val="24"/>
          <w:lang w:val="uk-UA"/>
        </w:rPr>
        <w:t xml:space="preserve"> району Миколаївської міської ради Миколаївської області за адресою:</w:t>
      </w:r>
      <w:r>
        <w:rPr>
          <w:rFonts w:ascii="Times New Roman" w:hAnsi="Times New Roman" w:cs="Times New Roman"/>
          <w:b/>
          <w:bCs/>
          <w:color w:val="auto"/>
          <w:sz w:val="24"/>
          <w:szCs w:val="24"/>
          <w:lang w:val="uk-UA"/>
        </w:rPr>
        <w:t xml:space="preserve"> </w:t>
      </w:r>
      <w:r w:rsidRPr="00663A19">
        <w:rPr>
          <w:rFonts w:ascii="Times New Roman" w:hAnsi="Times New Roman" w:cs="Times New Roman"/>
          <w:b/>
          <w:bCs/>
          <w:color w:val="auto"/>
          <w:sz w:val="24"/>
          <w:szCs w:val="24"/>
          <w:lang w:val="uk-UA"/>
        </w:rPr>
        <w:t>м. Миколаїв, вул. Космонавтів, 128 А, в частині заміни вікон та вхідних дверей, як заходи з енергозбереження з усунення аварії в бюджетній установі</w:t>
      </w:r>
      <w:r w:rsidR="002A596B" w:rsidRPr="002A596B">
        <w:rPr>
          <w:rFonts w:ascii="Times New Roman" w:hAnsi="Times New Roman" w:cs="Times New Roman"/>
          <w:b/>
          <w:bCs/>
          <w:color w:val="auto"/>
          <w:sz w:val="24"/>
          <w:szCs w:val="24"/>
          <w:lang w:val="uk-UA"/>
        </w:rPr>
        <w:t xml:space="preserve"> </w:t>
      </w:r>
    </w:p>
    <w:p w:rsidR="000C6416" w:rsidRPr="00F62EAA" w:rsidRDefault="000C6416" w:rsidP="000C6416">
      <w:pPr>
        <w:tabs>
          <w:tab w:val="left" w:pos="2317"/>
        </w:tabs>
        <w:jc w:val="center"/>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w:t>
      </w:r>
      <w:r w:rsidRPr="00E7547E">
        <w:rPr>
          <w:rFonts w:ascii="Times New Roman" w:hAnsi="Times New Roman" w:cs="Times New Roman"/>
          <w:color w:val="auto"/>
          <w:sz w:val="24"/>
          <w:szCs w:val="24"/>
          <w:lang w:val="uk-UA"/>
        </w:rPr>
        <w:t>45453000-7 — Капітальний ремонт і реставрація</w:t>
      </w:r>
      <w:r w:rsidRPr="00F62EAA">
        <w:rPr>
          <w:rFonts w:ascii="Times New Roman" w:hAnsi="Times New Roman" w:cs="Times New Roman"/>
          <w:color w:val="auto"/>
          <w:sz w:val="24"/>
          <w:szCs w:val="24"/>
          <w:lang w:val="uk-UA"/>
        </w:rPr>
        <w:t>)</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RPr="004F1A77" w:rsidTr="00B34176">
        <w:tc>
          <w:tcPr>
            <w:tcW w:w="2235" w:type="dxa"/>
            <w:gridSpan w:val="3"/>
          </w:tcPr>
          <w:p w:rsidR="00E02588" w:rsidRDefault="00E02588">
            <w:pPr>
              <w:rPr>
                <w:rFonts w:ascii="Times New Roman" w:hAnsi="Times New Roman" w:cs="Times New Roman"/>
                <w:sz w:val="24"/>
                <w:lang w:val="uk-UA"/>
              </w:rPr>
            </w:pPr>
            <w:r w:rsidRPr="000030CD">
              <w:rPr>
                <w:rFonts w:ascii="Times New Roman" w:hAnsi="Times New Roman" w:cs="Times New Roman"/>
                <w:bCs/>
                <w:sz w:val="24"/>
                <w:szCs w:val="24"/>
                <w:lang w:val="uk-UA"/>
              </w:rPr>
              <w:t>1.  Наявність будівельних машин і механізмів у Учасника.</w:t>
            </w:r>
          </w:p>
        </w:tc>
        <w:tc>
          <w:tcPr>
            <w:tcW w:w="7717" w:type="dxa"/>
            <w:gridSpan w:val="2"/>
          </w:tcPr>
          <w:p w:rsidR="001617B3" w:rsidRPr="007B2F5A" w:rsidRDefault="00CF4261" w:rsidP="001617B3">
            <w:pPr>
              <w:jc w:val="both"/>
              <w:rPr>
                <w:rFonts w:ascii="Times New Roman" w:hAnsi="Times New Roman" w:cs="Times New Roman"/>
                <w:sz w:val="24"/>
                <w:szCs w:val="24"/>
                <w:lang w:val="uk-UA"/>
              </w:rPr>
            </w:pPr>
            <w:r w:rsidRPr="00B25785">
              <w:rPr>
                <w:rFonts w:ascii="Times New Roman" w:hAnsi="Times New Roman" w:cs="Times New Roman"/>
                <w:sz w:val="24"/>
                <w:szCs w:val="24"/>
                <w:lang w:val="uk-UA"/>
              </w:rPr>
              <w:t xml:space="preserve">В складі тендерної </w:t>
            </w:r>
            <w:r w:rsidR="002B07E1">
              <w:rPr>
                <w:rFonts w:ascii="Times New Roman" w:hAnsi="Times New Roman" w:cs="Times New Roman"/>
                <w:sz w:val="24"/>
                <w:szCs w:val="24"/>
                <w:lang w:val="uk-UA"/>
              </w:rPr>
              <w:t>пропозиції</w:t>
            </w:r>
            <w:r w:rsidRPr="00B25785">
              <w:rPr>
                <w:rFonts w:ascii="Times New Roman" w:hAnsi="Times New Roman" w:cs="Times New Roman"/>
                <w:sz w:val="24"/>
                <w:szCs w:val="24"/>
                <w:lang w:val="uk-UA"/>
              </w:rPr>
              <w:t xml:space="preserve"> подається довідка про наявність будівельних машин і механізмів, які будуть використовуватися для виконання робіт за предметом закупівлі (надалі - Довідка про наявність будівельних машин і механізмів)</w:t>
            </w:r>
            <w:r w:rsidR="001617B3">
              <w:rPr>
                <w:rFonts w:ascii="Times New Roman" w:hAnsi="Times New Roman" w:cs="Times New Roman"/>
                <w:sz w:val="24"/>
                <w:szCs w:val="24"/>
                <w:lang w:val="uk-UA"/>
              </w:rPr>
              <w:t xml:space="preserve"> </w:t>
            </w:r>
            <w:r w:rsidR="001617B3" w:rsidRPr="007B2F5A">
              <w:rPr>
                <w:rFonts w:ascii="Times New Roman" w:hAnsi="Times New Roman" w:cs="Times New Roman"/>
                <w:sz w:val="24"/>
                <w:szCs w:val="24"/>
                <w:lang w:val="uk-UA"/>
              </w:rPr>
              <w:t>у формі, наведеній нижче</w:t>
            </w:r>
            <w:r w:rsidR="001617B3" w:rsidRPr="00842CE1">
              <w:rPr>
                <w:rFonts w:ascii="Times New Roman" w:hAnsi="Times New Roman" w:cs="Times New Roman"/>
                <w:sz w:val="24"/>
                <w:szCs w:val="24"/>
                <w:lang w:val="uk-UA"/>
              </w:rPr>
              <w:t>.</w:t>
            </w:r>
          </w:p>
          <w:p w:rsidR="00E02588" w:rsidRPr="007919A1"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 xml:space="preserve">Під зазначенням конкретної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 xml:space="preserve">механізму в </w:t>
            </w:r>
            <w:r w:rsidR="005F3848">
              <w:rPr>
                <w:rFonts w:ascii="Times New Roman" w:hAnsi="Times New Roman" w:cs="Times New Roman"/>
                <w:bCs/>
                <w:color w:val="auto"/>
                <w:sz w:val="24"/>
                <w:szCs w:val="24"/>
                <w:lang w:val="uk-UA"/>
              </w:rPr>
              <w:t>довідці</w:t>
            </w:r>
            <w:r w:rsidRPr="007919A1">
              <w:rPr>
                <w:rFonts w:ascii="Times New Roman" w:hAnsi="Times New Roman" w:cs="Times New Roman"/>
                <w:bCs/>
                <w:color w:val="auto"/>
                <w:sz w:val="24"/>
                <w:szCs w:val="24"/>
                <w:lang w:val="uk-UA"/>
              </w:rPr>
              <w:t>,</w:t>
            </w:r>
            <w:r w:rsidRPr="007919A1">
              <w:rPr>
                <w:rFonts w:ascii="Times New Roman" w:hAnsi="Times New Roman" w:cs="Times New Roman"/>
                <w:sz w:val="24"/>
                <w:szCs w:val="24"/>
                <w:lang w:val="uk-UA"/>
              </w:rPr>
              <w:t xml:space="preserve"> необхідно розуміти, як можливість використання аналогу.</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Кваліфікаційні характеристики аналогу повинні відповідати кваліфікаційним характеристикам </w:t>
            </w:r>
            <w:r w:rsidRPr="00FC4D6F">
              <w:rPr>
                <w:rFonts w:ascii="Times New Roman" w:hAnsi="Times New Roman" w:cs="Times New Roman"/>
                <w:sz w:val="24"/>
                <w:szCs w:val="24"/>
                <w:lang w:val="uk-UA"/>
              </w:rPr>
              <w:t>будівельн</w:t>
            </w:r>
            <w:r>
              <w:rPr>
                <w:rFonts w:ascii="Times New Roman" w:hAnsi="Times New Roman" w:cs="Times New Roman"/>
                <w:sz w:val="24"/>
                <w:szCs w:val="24"/>
                <w:lang w:val="uk-UA"/>
              </w:rPr>
              <w:t>их машин</w:t>
            </w:r>
            <w:r w:rsidRPr="00FC4D6F">
              <w:rPr>
                <w:rFonts w:ascii="Times New Roman" w:hAnsi="Times New Roman" w:cs="Times New Roman"/>
                <w:sz w:val="24"/>
                <w:szCs w:val="24"/>
                <w:lang w:val="uk-UA"/>
              </w:rPr>
              <w:t xml:space="preserve"> і механізм</w:t>
            </w:r>
            <w:r>
              <w:rPr>
                <w:rFonts w:ascii="Times New Roman" w:hAnsi="Times New Roman" w:cs="Times New Roman"/>
                <w:sz w:val="24"/>
                <w:szCs w:val="24"/>
                <w:lang w:val="uk-UA"/>
              </w:rPr>
              <w:t>ів, які вимагав Замовник.</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В разі надання аналогу, кваліфікаційні характеристики якого не відповідають необхідним, така тендерна пропозиція буде відхилена.</w:t>
            </w:r>
          </w:p>
          <w:p w:rsidR="00E02588" w:rsidRPr="001E33FB"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У випадку зазначення у довідці аналогу</w:t>
            </w:r>
            <w:r w:rsidRPr="007919A1">
              <w:rPr>
                <w:rFonts w:ascii="Times New Roman" w:hAnsi="Times New Roman" w:cs="Times New Roman"/>
                <w:bCs/>
                <w:color w:val="auto"/>
                <w:sz w:val="24"/>
                <w:szCs w:val="24"/>
                <w:lang w:val="uk-UA"/>
              </w:rPr>
              <w:t xml:space="preserve"> 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w:t>
            </w:r>
            <w:r w:rsidRPr="007919A1">
              <w:rPr>
                <w:rFonts w:ascii="Times New Roman" w:hAnsi="Times New Roman" w:cs="Times New Roman"/>
                <w:sz w:val="24"/>
                <w:szCs w:val="24"/>
                <w:lang w:val="uk-UA"/>
              </w:rPr>
              <w:t>, обов’язкове відображення інформації</w:t>
            </w:r>
            <w:r w:rsidR="00CC7D67">
              <w:rPr>
                <w:rFonts w:ascii="Times New Roman" w:hAnsi="Times New Roman" w:cs="Times New Roman"/>
                <w:sz w:val="24"/>
                <w:szCs w:val="24"/>
                <w:lang w:val="uk-UA"/>
              </w:rPr>
              <w:t>,</w:t>
            </w:r>
            <w:r w:rsidRPr="007919A1">
              <w:rPr>
                <w:rFonts w:ascii="Times New Roman" w:hAnsi="Times New Roman" w:cs="Times New Roman"/>
                <w:sz w:val="24"/>
                <w:szCs w:val="24"/>
                <w:lang w:val="uk-UA"/>
              </w:rPr>
              <w:t xml:space="preserve"> замість якої саме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 з переліку, наданого Замовником, планується їх використовувати</w:t>
            </w:r>
            <w:r w:rsidR="00CC7D67">
              <w:rPr>
                <w:rFonts w:ascii="Times New Roman" w:hAnsi="Times New Roman" w:cs="Times New Roman"/>
                <w:bCs/>
                <w:color w:val="auto"/>
                <w:sz w:val="24"/>
                <w:szCs w:val="24"/>
                <w:lang w:val="uk-UA"/>
              </w:rPr>
              <w:t xml:space="preserve"> (колонка 7 таблиці)</w:t>
            </w:r>
            <w:r w:rsidRPr="007919A1">
              <w:rPr>
                <w:rFonts w:ascii="Times New Roman" w:hAnsi="Times New Roman" w:cs="Times New Roman"/>
                <w:bCs/>
                <w:color w:val="auto"/>
                <w:sz w:val="24"/>
                <w:szCs w:val="24"/>
                <w:lang w:val="uk-UA"/>
              </w:rPr>
              <w:t>.</w:t>
            </w:r>
          </w:p>
          <w:p w:rsidR="00E02588" w:rsidRPr="00B151C3" w:rsidRDefault="00E02588" w:rsidP="00E02588">
            <w:pPr>
              <w:jc w:val="both"/>
              <w:rPr>
                <w:rFonts w:ascii="Times New Roman" w:hAnsi="Times New Roman" w:cs="Times New Roman"/>
                <w:b/>
                <w:color w:val="auto"/>
                <w:sz w:val="24"/>
                <w:szCs w:val="24"/>
                <w:lang w:val="uk-UA"/>
              </w:rPr>
            </w:pPr>
            <w:r w:rsidRPr="00B76498">
              <w:rPr>
                <w:rFonts w:ascii="Times New Roman" w:hAnsi="Times New Roman" w:cs="Times New Roman"/>
                <w:b/>
                <w:bCs/>
                <w:color w:val="auto"/>
                <w:sz w:val="24"/>
                <w:szCs w:val="24"/>
                <w:lang w:val="uk-UA"/>
              </w:rPr>
              <w:t xml:space="preserve"> </w:t>
            </w:r>
            <w:r w:rsidRPr="00B151C3">
              <w:rPr>
                <w:rFonts w:ascii="Times New Roman" w:hAnsi="Times New Roman" w:cs="Times New Roman"/>
                <w:color w:val="auto"/>
                <w:sz w:val="24"/>
                <w:szCs w:val="24"/>
                <w:lang w:val="uk-UA"/>
              </w:rPr>
              <w:t>В підтвердження наявності власних будівельних машин та механізмів, учасник в складі тендерної пропозиції надає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 </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Для підтвердження правових підстав щодо наявності орендованих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щодо надання послуг з використанням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учасник надає у складі тендерної пропозиції  відповідні документи:</w:t>
            </w:r>
          </w:p>
          <w:p w:rsidR="00E02588" w:rsidRPr="00B151C3" w:rsidRDefault="00E02588" w:rsidP="00E02588">
            <w:pPr>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 діючий договір оренди </w:t>
            </w:r>
            <w:r w:rsidRPr="00B151C3">
              <w:rPr>
                <w:rFonts w:ascii="Times New Roman" w:hAnsi="Times New Roman" w:cs="Times New Roman"/>
                <w:color w:val="auto"/>
                <w:sz w:val="24"/>
                <w:szCs w:val="24"/>
                <w:lang w:val="uk-UA"/>
              </w:rPr>
              <w:t>та/або надання послуг</w:t>
            </w:r>
            <w:r>
              <w:rPr>
                <w:rFonts w:ascii="Times New Roman" w:hAnsi="Times New Roman" w:cs="Times New Roman"/>
                <w:color w:val="auto"/>
                <w:sz w:val="24"/>
                <w:szCs w:val="24"/>
                <w:lang w:val="uk-UA"/>
              </w:rPr>
              <w:t xml:space="preserve"> з додатками;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лист-згода власника транспортних засобів (машин та механізмів) на їх використання Учасником для виконання робіт за предметом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Лист-згода власника транспортних засобів (машин та механізмів) повинен містити: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перелік всіх наданих в оренду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перелік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якими надаються послуги;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згоду щодо їх використання Учасником для виконання робіт за предметом закупівлі, </w:t>
            </w:r>
            <w:r>
              <w:rPr>
                <w:rFonts w:ascii="Times New Roman" w:hAnsi="Times New Roman" w:cs="Times New Roman"/>
                <w:color w:val="auto"/>
                <w:sz w:val="24"/>
                <w:szCs w:val="24"/>
                <w:lang w:val="uk-UA"/>
              </w:rPr>
              <w:t xml:space="preserve">або згоду на надання послуг, </w:t>
            </w:r>
            <w:r w:rsidRPr="00B151C3">
              <w:rPr>
                <w:rFonts w:ascii="Times New Roman" w:hAnsi="Times New Roman" w:cs="Times New Roman"/>
                <w:color w:val="auto"/>
                <w:sz w:val="24"/>
                <w:szCs w:val="24"/>
                <w:lang w:val="uk-UA"/>
              </w:rPr>
              <w:t>з обов’язковим зазначенням предмету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повне найменування Учасника, якому надається згода на використання транспортних засобів (машин та механізмів)</w:t>
            </w:r>
            <w:r>
              <w:rPr>
                <w:rFonts w:ascii="Times New Roman" w:hAnsi="Times New Roman" w:cs="Times New Roman"/>
                <w:color w:val="auto"/>
                <w:sz w:val="24"/>
                <w:szCs w:val="24"/>
                <w:lang w:val="uk-UA"/>
              </w:rPr>
              <w:t>, або на надання послуг</w:t>
            </w:r>
            <w:r w:rsidRPr="00B151C3">
              <w:rPr>
                <w:rFonts w:ascii="Times New Roman" w:hAnsi="Times New Roman" w:cs="Times New Roman"/>
                <w:color w:val="auto"/>
                <w:sz w:val="24"/>
                <w:szCs w:val="24"/>
                <w:lang w:val="uk-UA"/>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sz w:val="24"/>
                <w:szCs w:val="24"/>
                <w:lang w:val="uk-UA"/>
              </w:rPr>
              <w:t xml:space="preserve">- </w:t>
            </w:r>
            <w:r w:rsidRPr="00B151C3">
              <w:rPr>
                <w:rFonts w:ascii="Times New Roman" w:hAnsi="Times New Roman" w:cs="Times New Roman"/>
                <w:color w:val="auto"/>
                <w:sz w:val="24"/>
                <w:szCs w:val="24"/>
                <w:lang w:val="uk-UA"/>
              </w:rPr>
              <w:t xml:space="preserve">реквізити власника (повне найменування, адреса, </w:t>
            </w:r>
            <w:hyperlink r:id="rId4" w:history="1">
              <w:r w:rsidRPr="00B151C3">
                <w:rPr>
                  <w:rFonts w:ascii="Times New Roman" w:hAnsi="Times New Roman" w:cs="Times New Roman"/>
                  <w:color w:val="auto"/>
                  <w:sz w:val="24"/>
                  <w:szCs w:val="24"/>
                  <w:lang w:val="uk-UA"/>
                </w:rPr>
                <w:t>прізвище, ім'я, по-батькові</w:t>
              </w:r>
            </w:hyperlink>
            <w:r w:rsidRPr="00B151C3">
              <w:rPr>
                <w:rFonts w:ascii="Times New Roman" w:hAnsi="Times New Roman" w:cs="Times New Roman"/>
                <w:color w:val="auto"/>
                <w:sz w:val="24"/>
                <w:szCs w:val="24"/>
                <w:lang w:val="uk-UA"/>
              </w:rPr>
              <w:t xml:space="preserve"> керівника та номер телефону).</w:t>
            </w:r>
          </w:p>
          <w:p w:rsidR="00E02588" w:rsidRPr="00B151C3" w:rsidRDefault="00E02588" w:rsidP="00E02588">
            <w:pPr>
              <w:jc w:val="both"/>
              <w:rPr>
                <w:rFonts w:ascii="Times New Roman" w:hAnsi="Times New Roman" w:cs="Times New Roman"/>
                <w:sz w:val="24"/>
                <w:szCs w:val="24"/>
                <w:lang w:val="uk-UA"/>
              </w:rPr>
            </w:pPr>
            <w:r w:rsidRPr="00B151C3">
              <w:rPr>
                <w:rFonts w:ascii="Times New Roman" w:hAnsi="Times New Roman" w:cs="Times New Roman"/>
                <w:color w:val="auto"/>
                <w:sz w:val="24"/>
                <w:szCs w:val="24"/>
                <w:lang w:val="uk-UA"/>
              </w:rPr>
              <w:t xml:space="preserve">Лист-згода власника транспортних засобів (машин та механізмів) </w:t>
            </w:r>
            <w:r w:rsidRPr="00B151C3">
              <w:rPr>
                <w:rFonts w:ascii="Times New Roman" w:hAnsi="Times New Roman" w:cs="Times New Roman"/>
                <w:sz w:val="24"/>
                <w:szCs w:val="24"/>
                <w:lang w:val="uk-UA"/>
              </w:rPr>
              <w:t>подається на фірмовому бланку (</w:t>
            </w:r>
            <w:r w:rsidRPr="00B151C3">
              <w:rPr>
                <w:rFonts w:ascii="Times New Roman" w:hAnsi="Times New Roman" w:cs="Times New Roman"/>
                <w:i/>
                <w:sz w:val="24"/>
                <w:szCs w:val="24"/>
                <w:lang w:val="uk-UA"/>
              </w:rPr>
              <w:t>у разі наявності  такого бланку</w:t>
            </w:r>
            <w:r w:rsidRPr="00B151C3">
              <w:rPr>
                <w:rFonts w:ascii="Times New Roman" w:hAnsi="Times New Roman" w:cs="Times New Roman"/>
                <w:sz w:val="24"/>
                <w:szCs w:val="24"/>
                <w:lang w:val="uk-UA"/>
              </w:rPr>
              <w:t xml:space="preserve">) та містити підпис </w:t>
            </w:r>
            <w:r w:rsidRPr="00B151C3">
              <w:rPr>
                <w:rFonts w:ascii="Times New Roman" w:hAnsi="Times New Roman" w:cs="Times New Roman"/>
                <w:color w:val="auto"/>
                <w:sz w:val="24"/>
                <w:szCs w:val="24"/>
                <w:lang w:val="uk-UA"/>
              </w:rPr>
              <w:t xml:space="preserve">керівника власника транспортних засобів (машин та </w:t>
            </w:r>
            <w:r w:rsidRPr="00B151C3">
              <w:rPr>
                <w:rFonts w:ascii="Times New Roman" w:hAnsi="Times New Roman" w:cs="Times New Roman"/>
                <w:color w:val="auto"/>
                <w:sz w:val="24"/>
                <w:szCs w:val="24"/>
                <w:lang w:val="uk-UA"/>
              </w:rPr>
              <w:lastRenderedPageBreak/>
              <w:t>механізмів) та печатку (при наявності).</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Достовірність підпису у листі-згоді від власника транспортних засобів (машин та механізмів) фізичної особи, або фізичної особи – підприємця, підлягає нотаріальному засвідченню.</w:t>
            </w:r>
          </w:p>
          <w:p w:rsidR="00E02588" w:rsidRPr="00F16D3B" w:rsidRDefault="00E02588" w:rsidP="00E02588">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Відповідно до ст.799 Цивільного Кодексу України: </w:t>
            </w:r>
            <w:r w:rsidRPr="00F16D3B">
              <w:rPr>
                <w:rFonts w:ascii="Courier New" w:hAnsi="Courier New" w:cs="Courier New"/>
                <w:color w:val="111111"/>
              </w:rPr>
              <w:t xml:space="preserve"> </w:t>
            </w:r>
            <w:proofErr w:type="spellStart"/>
            <w:r>
              <w:rPr>
                <w:rFonts w:ascii="Times New Roman" w:hAnsi="Times New Roman" w:cs="Times New Roman"/>
                <w:color w:val="111111"/>
                <w:sz w:val="24"/>
                <w:szCs w:val="24"/>
              </w:rPr>
              <w:t>Договір</w:t>
            </w:r>
            <w:proofErr w:type="spellEnd"/>
            <w:r>
              <w:rPr>
                <w:rFonts w:ascii="Times New Roman" w:hAnsi="Times New Roman" w:cs="Times New Roman"/>
                <w:color w:val="111111"/>
                <w:sz w:val="24"/>
                <w:szCs w:val="24"/>
                <w:lang w:val="uk-UA"/>
              </w:rPr>
              <w:t xml:space="preserve"> </w:t>
            </w:r>
            <w:r w:rsidRPr="00F16D3B">
              <w:rPr>
                <w:rFonts w:ascii="Times New Roman" w:hAnsi="Times New Roman" w:cs="Times New Roman"/>
                <w:color w:val="111111"/>
                <w:sz w:val="24"/>
                <w:szCs w:val="24"/>
              </w:rPr>
              <w:t xml:space="preserve">найму  транспортного </w:t>
            </w:r>
            <w:proofErr w:type="spellStart"/>
            <w:r w:rsidRPr="00F16D3B">
              <w:rPr>
                <w:rFonts w:ascii="Times New Roman" w:hAnsi="Times New Roman" w:cs="Times New Roman"/>
                <w:color w:val="111111"/>
                <w:sz w:val="24"/>
                <w:szCs w:val="24"/>
              </w:rPr>
              <w:t>засобу</w:t>
            </w:r>
            <w:proofErr w:type="spellEnd"/>
            <w:r w:rsidRPr="00F16D3B">
              <w:rPr>
                <w:rFonts w:ascii="Times New Roman" w:hAnsi="Times New Roman" w:cs="Times New Roman"/>
                <w:color w:val="111111"/>
                <w:sz w:val="24"/>
                <w:szCs w:val="24"/>
              </w:rPr>
              <w:t xml:space="preserve"> за </w:t>
            </w:r>
            <w:proofErr w:type="spellStart"/>
            <w:r w:rsidRPr="00F16D3B">
              <w:rPr>
                <w:rFonts w:ascii="Times New Roman" w:hAnsi="Times New Roman" w:cs="Times New Roman"/>
                <w:color w:val="111111"/>
                <w:sz w:val="24"/>
                <w:szCs w:val="24"/>
              </w:rPr>
              <w:t>участю</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фізичної</w:t>
            </w:r>
            <w:proofErr w:type="spellEnd"/>
            <w:r>
              <w:rPr>
                <w:rFonts w:ascii="Times New Roman" w:hAnsi="Times New Roman" w:cs="Times New Roman"/>
                <w:color w:val="111111"/>
                <w:sz w:val="24"/>
                <w:szCs w:val="24"/>
                <w:lang w:val="uk-UA"/>
              </w:rPr>
              <w:t xml:space="preserve"> </w:t>
            </w:r>
            <w:r>
              <w:rPr>
                <w:rFonts w:ascii="Times New Roman" w:hAnsi="Times New Roman" w:cs="Times New Roman"/>
                <w:color w:val="111111"/>
                <w:sz w:val="24"/>
                <w:szCs w:val="24"/>
              </w:rPr>
              <w:t>особи</w:t>
            </w:r>
            <w:r>
              <w:rPr>
                <w:rFonts w:ascii="Times New Roman" w:hAnsi="Times New Roman" w:cs="Times New Roman"/>
                <w:color w:val="111111"/>
                <w:sz w:val="24"/>
                <w:szCs w:val="24"/>
                <w:lang w:val="uk-UA"/>
              </w:rPr>
              <w:t xml:space="preserve"> </w:t>
            </w:r>
            <w:proofErr w:type="spellStart"/>
            <w:r w:rsidRPr="00F16D3B">
              <w:rPr>
                <w:rFonts w:ascii="Times New Roman" w:hAnsi="Times New Roman" w:cs="Times New Roman"/>
                <w:color w:val="111111"/>
                <w:sz w:val="24"/>
                <w:szCs w:val="24"/>
              </w:rPr>
              <w:t>підлягає</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нотаріальному</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посвідченню</w:t>
            </w:r>
            <w:proofErr w:type="spellEnd"/>
            <w:r w:rsidRPr="00F16D3B">
              <w:rPr>
                <w:rFonts w:ascii="Times New Roman" w:hAnsi="Times New Roman" w:cs="Times New Roman"/>
                <w:color w:val="111111"/>
                <w:sz w:val="24"/>
                <w:szCs w:val="24"/>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Найменування, марка та реєстраційний номер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довідці, повинні повністю відповідати: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color w:val="auto"/>
                <w:sz w:val="24"/>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листі-згоді власника транспортних засобів (машин та механізмів);</w:t>
            </w:r>
          </w:p>
          <w:p w:rsidR="00E02588" w:rsidRPr="00ED1EEC"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свідоцтвах про реєстрацію транспортних засобів.</w:t>
            </w:r>
          </w:p>
          <w:p w:rsidR="00E02588" w:rsidRDefault="00E02588" w:rsidP="004707AC">
            <w:pPr>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В разі якщо </w:t>
            </w:r>
            <w:r w:rsidRPr="00B151C3">
              <w:rPr>
                <w:rFonts w:ascii="Times New Roman" w:hAnsi="Times New Roman" w:cs="Times New Roman"/>
                <w:bCs/>
                <w:color w:val="auto"/>
                <w:sz w:val="24"/>
                <w:szCs w:val="24"/>
                <w:lang w:val="uk-UA"/>
              </w:rPr>
              <w:t>будівельн</w:t>
            </w:r>
            <w:r>
              <w:rPr>
                <w:rFonts w:ascii="Times New Roman" w:hAnsi="Times New Roman" w:cs="Times New Roman"/>
                <w:bCs/>
                <w:color w:val="auto"/>
                <w:sz w:val="24"/>
                <w:szCs w:val="24"/>
                <w:lang w:val="uk-UA"/>
              </w:rPr>
              <w:t>і</w:t>
            </w:r>
            <w:r w:rsidRPr="00B151C3">
              <w:rPr>
                <w:rFonts w:ascii="Times New Roman" w:hAnsi="Times New Roman" w:cs="Times New Roman"/>
                <w:bCs/>
                <w:color w:val="auto"/>
                <w:sz w:val="24"/>
                <w:szCs w:val="24"/>
                <w:lang w:val="uk-UA"/>
              </w:rPr>
              <w:t xml:space="preserve"> машин</w:t>
            </w:r>
            <w:r>
              <w:rPr>
                <w:rFonts w:ascii="Times New Roman" w:hAnsi="Times New Roman" w:cs="Times New Roman"/>
                <w:bCs/>
                <w:color w:val="auto"/>
                <w:sz w:val="24"/>
                <w:szCs w:val="24"/>
                <w:lang w:val="uk-UA"/>
              </w:rPr>
              <w:t>и</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w:t>
            </w:r>
            <w:r>
              <w:rPr>
                <w:rFonts w:ascii="Times New Roman" w:hAnsi="Times New Roman" w:cs="Times New Roman"/>
                <w:bCs/>
                <w:color w:val="auto"/>
                <w:sz w:val="24"/>
                <w:szCs w:val="24"/>
                <w:lang w:val="uk-UA"/>
              </w:rPr>
              <w:t xml:space="preserve">и не підлягають реєстрації та на них не отримуються </w:t>
            </w:r>
            <w:r w:rsidRPr="00B151C3">
              <w:rPr>
                <w:rFonts w:ascii="Times New Roman" w:hAnsi="Times New Roman" w:cs="Times New Roman"/>
                <w:color w:val="auto"/>
                <w:sz w:val="24"/>
                <w:szCs w:val="24"/>
                <w:lang w:val="uk-UA"/>
              </w:rPr>
              <w:t>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r>
              <w:rPr>
                <w:rFonts w:ascii="Times New Roman" w:hAnsi="Times New Roman" w:cs="Times New Roman"/>
                <w:color w:val="auto"/>
                <w:sz w:val="24"/>
                <w:szCs w:val="24"/>
                <w:lang w:val="uk-UA"/>
              </w:rPr>
              <w:t xml:space="preserve">, Учасник в складі пропозиції надає лист з </w:t>
            </w:r>
            <w:proofErr w:type="spellStart"/>
            <w:r w:rsidRPr="00E02794">
              <w:rPr>
                <w:rFonts w:ascii="Times New Roman" w:hAnsi="Times New Roman" w:cs="Times New Roman"/>
                <w:sz w:val="24"/>
                <w:szCs w:val="24"/>
                <w:lang w:val="uk-UA" w:eastAsia="uk-UA"/>
              </w:rPr>
              <w:t>Держпродспоживслужби</w:t>
            </w:r>
            <w:proofErr w:type="spellEnd"/>
            <w:r>
              <w:rPr>
                <w:rFonts w:ascii="Times New Roman" w:hAnsi="Times New Roman" w:cs="Times New Roman"/>
                <w:color w:val="auto"/>
                <w:sz w:val="24"/>
                <w:szCs w:val="24"/>
                <w:lang w:val="uk-UA"/>
              </w:rPr>
              <w:t xml:space="preserve"> та/або лист-роз’яснення щодо відсутності необхідності отримання вищезазначеного свідоцтва на конкретні машини/механізми з посиланням на нормативні документи.</w:t>
            </w:r>
          </w:p>
          <w:p w:rsidR="00AD2C32" w:rsidRDefault="00AD2C32" w:rsidP="004707AC">
            <w:pPr>
              <w:jc w:val="both"/>
              <w:rPr>
                <w:rFonts w:ascii="Times New Roman" w:hAnsi="Times New Roman" w:cs="Times New Roman"/>
                <w:sz w:val="24"/>
                <w:lang w:val="uk-UA"/>
              </w:rPr>
            </w:pPr>
            <w:r w:rsidRPr="00AD2C32">
              <w:rPr>
                <w:rFonts w:ascii="Times New Roman" w:hAnsi="Times New Roman" w:cs="Times New Roman"/>
                <w:sz w:val="24"/>
                <w:lang w:val="uk-UA"/>
              </w:rPr>
              <w:t xml:space="preserve">Всі зазначені в довідці про наявність будівельних машин і механізмів, </w:t>
            </w:r>
            <w:r w:rsidR="00CC7D67" w:rsidRPr="00CC7D67">
              <w:rPr>
                <w:rFonts w:ascii="Times New Roman" w:hAnsi="Times New Roman" w:cs="Times New Roman"/>
                <w:sz w:val="24"/>
                <w:lang w:val="uk-UA"/>
              </w:rPr>
              <w:t>які будуть використовуватися</w:t>
            </w:r>
            <w:r w:rsidRPr="00AD2C32">
              <w:rPr>
                <w:rFonts w:ascii="Times New Roman" w:hAnsi="Times New Roman" w:cs="Times New Roman"/>
                <w:sz w:val="24"/>
                <w:lang w:val="uk-UA"/>
              </w:rPr>
              <w:t xml:space="preserve"> для виконання робіт за предметом закупівлі, в колонці 2 будівельні машини і механізми повинні бути відображені в частині ІІ підсумкової відомості ресурсів до договірної ціни.</w:t>
            </w:r>
          </w:p>
        </w:tc>
      </w:tr>
      <w:tr w:rsidR="00E02588" w:rsidTr="002E77F2">
        <w:trPr>
          <w:trHeight w:val="1542"/>
        </w:trPr>
        <w:tc>
          <w:tcPr>
            <w:tcW w:w="9952" w:type="dxa"/>
            <w:gridSpan w:val="5"/>
          </w:tcPr>
          <w:p w:rsidR="00E02588" w:rsidRPr="0042377C" w:rsidRDefault="00E02588" w:rsidP="00E02588">
            <w:pPr>
              <w:jc w:val="center"/>
              <w:rPr>
                <w:rFonts w:ascii="Times New Roman" w:eastAsia="Times New Roman" w:hAnsi="Times New Roman" w:cs="Times New Roman"/>
                <w:b/>
                <w:color w:val="auto"/>
                <w:sz w:val="24"/>
                <w:szCs w:val="24"/>
                <w:lang w:val="uk-UA"/>
              </w:rPr>
            </w:pPr>
            <w:r w:rsidRPr="0042377C">
              <w:rPr>
                <w:rFonts w:ascii="Times New Roman" w:hAnsi="Times New Roman" w:cs="Times New Roman"/>
                <w:b/>
                <w:sz w:val="24"/>
                <w:szCs w:val="24"/>
                <w:lang w:val="uk-UA"/>
              </w:rPr>
              <w:lastRenderedPageBreak/>
              <w:t>Довідка</w:t>
            </w:r>
            <w:r w:rsidRPr="0042377C">
              <w:rPr>
                <w:rFonts w:ascii="Times New Roman" w:eastAsia="Times New Roman" w:hAnsi="Times New Roman" w:cs="Times New Roman"/>
                <w:b/>
                <w:color w:val="auto"/>
                <w:sz w:val="24"/>
                <w:szCs w:val="24"/>
                <w:lang w:val="uk-UA"/>
              </w:rPr>
              <w:t xml:space="preserve"> про </w:t>
            </w:r>
            <w:r w:rsidRPr="0042377C">
              <w:rPr>
                <w:rFonts w:ascii="Times New Roman" w:eastAsia="Times New Roman" w:hAnsi="Times New Roman" w:cs="Times New Roman"/>
                <w:b/>
                <w:sz w:val="24"/>
                <w:szCs w:val="24"/>
                <w:lang w:val="uk-UA" w:eastAsia="en-US"/>
              </w:rPr>
              <w:t xml:space="preserve">наявність </w:t>
            </w:r>
            <w:r w:rsidRPr="00F0560C">
              <w:rPr>
                <w:rFonts w:ascii="Times New Roman" w:hAnsi="Times New Roman" w:cs="Times New Roman"/>
                <w:b/>
                <w:bCs/>
                <w:sz w:val="24"/>
                <w:szCs w:val="24"/>
                <w:lang w:val="uk-UA"/>
              </w:rPr>
              <w:t>будівельних машин і механізмів</w:t>
            </w:r>
            <w:r w:rsidRPr="0042377C">
              <w:rPr>
                <w:rFonts w:ascii="Times New Roman" w:eastAsia="Times New Roman" w:hAnsi="Times New Roman" w:cs="Times New Roman"/>
                <w:b/>
                <w:color w:val="auto"/>
                <w:sz w:val="24"/>
                <w:szCs w:val="24"/>
                <w:lang w:val="uk-UA"/>
              </w:rPr>
              <w:t xml:space="preserve">, </w:t>
            </w:r>
            <w:r w:rsidR="00CC7D67" w:rsidRPr="00CC7D67">
              <w:rPr>
                <w:rFonts w:ascii="Times New Roman" w:eastAsia="Times New Roman" w:hAnsi="Times New Roman" w:cs="Times New Roman"/>
                <w:b/>
                <w:color w:val="auto"/>
                <w:sz w:val="24"/>
                <w:szCs w:val="24"/>
                <w:lang w:val="uk-UA"/>
              </w:rPr>
              <w:t>які будуть використовуватися</w:t>
            </w:r>
            <w:r w:rsidRPr="0042377C">
              <w:rPr>
                <w:rFonts w:ascii="Times New Roman" w:eastAsia="Times New Roman" w:hAnsi="Times New Roman" w:cs="Times New Roman"/>
                <w:b/>
                <w:color w:val="auto"/>
                <w:sz w:val="24"/>
                <w:szCs w:val="24"/>
                <w:lang w:val="uk-UA"/>
              </w:rPr>
              <w:t xml:space="preserve"> для виконання робіт за предметом закупівлі</w:t>
            </w:r>
          </w:p>
          <w:tbl>
            <w:tblPr>
              <w:tblW w:w="0" w:type="auto"/>
              <w:tblLayout w:type="fixed"/>
              <w:tblLook w:val="04A0"/>
            </w:tblPr>
            <w:tblGrid>
              <w:gridCol w:w="446"/>
              <w:gridCol w:w="1349"/>
              <w:gridCol w:w="1381"/>
              <w:gridCol w:w="930"/>
              <w:gridCol w:w="1418"/>
              <w:gridCol w:w="1557"/>
              <w:gridCol w:w="2412"/>
            </w:tblGrid>
            <w:tr w:rsidR="00E02588" w:rsidRPr="0042377C" w:rsidTr="00B34176">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pacing w:line="240" w:lineRule="auto"/>
                    <w:ind w:left="-41" w:right="-154"/>
                    <w:jc w:val="center"/>
                    <w:rPr>
                      <w:rFonts w:ascii="Times New Roman" w:eastAsia="Times New Roman" w:hAnsi="Times New Roman" w:cs="Times New Roman"/>
                      <w:color w:val="auto"/>
                      <w:sz w:val="20"/>
                      <w:szCs w:val="20"/>
                      <w:lang w:val="uk-UA" w:eastAsia="zh-CN"/>
                    </w:rPr>
                  </w:pPr>
                  <w:r w:rsidRPr="0042377C">
                    <w:rPr>
                      <w:rFonts w:ascii="Times New Roman" w:eastAsia="Times New Roman" w:hAnsi="Times New Roman" w:cs="Times New Roman"/>
                      <w:color w:val="auto"/>
                      <w:sz w:val="20"/>
                      <w:szCs w:val="20"/>
                      <w:lang w:val="uk-UA"/>
                    </w:rPr>
                    <w:t>№</w:t>
                  </w:r>
                </w:p>
                <w:p w:rsidR="00E02588" w:rsidRPr="0042377C" w:rsidRDefault="00E02588" w:rsidP="005530F0">
                  <w:pPr>
                    <w:suppressAutoHyphens/>
                    <w:spacing w:line="240" w:lineRule="auto"/>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з/п</w:t>
                  </w:r>
                </w:p>
              </w:tc>
              <w:tc>
                <w:tcPr>
                  <w:tcW w:w="1349" w:type="dxa"/>
                  <w:tcBorders>
                    <w:top w:val="single" w:sz="4" w:space="0" w:color="000000"/>
                    <w:left w:val="single" w:sz="4" w:space="0" w:color="000000"/>
                    <w:bottom w:val="single" w:sz="4" w:space="0" w:color="000000"/>
                    <w:right w:val="nil"/>
                  </w:tcBorders>
                  <w:hideMark/>
                </w:tcPr>
                <w:p w:rsidR="00E02588" w:rsidRDefault="00E02588" w:rsidP="005530F0">
                  <w:pPr>
                    <w:suppressAutoHyphens/>
                    <w:spacing w:line="240" w:lineRule="auto"/>
                    <w:ind w:left="-108" w:right="-108"/>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Найменування будівельних машин і  механізмів*</w:t>
                  </w:r>
                  <w:r>
                    <w:rPr>
                      <w:rFonts w:ascii="Times New Roman" w:hAnsi="Times New Roman" w:cs="Times New Roman"/>
                      <w:color w:val="auto"/>
                      <w:sz w:val="20"/>
                      <w:szCs w:val="24"/>
                      <w:lang w:val="uk-UA"/>
                    </w:rPr>
                    <w:t xml:space="preserve"> </w:t>
                  </w:r>
                </w:p>
                <w:p w:rsidR="00E02588" w:rsidRPr="0042377C" w:rsidRDefault="00E02588" w:rsidP="005530F0">
                  <w:pPr>
                    <w:suppressAutoHyphens/>
                    <w:spacing w:line="240" w:lineRule="auto"/>
                    <w:ind w:left="-108" w:right="-108"/>
                    <w:jc w:val="center"/>
                    <w:rPr>
                      <w:rFonts w:ascii="Times New Roman" w:eastAsia="Times New Roman" w:hAnsi="Times New Roman" w:cs="Times New Roman"/>
                      <w:color w:val="auto"/>
                      <w:sz w:val="20"/>
                      <w:szCs w:val="20"/>
                      <w:lang w:eastAsia="zh-CN"/>
                    </w:rPr>
                  </w:pP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right="-66"/>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 xml:space="preserve">Марка, реєстраційний номер </w:t>
                  </w:r>
                </w:p>
                <w:p w:rsidR="00E02588" w:rsidRPr="0042377C" w:rsidRDefault="00E02588" w:rsidP="005530F0">
                  <w:pPr>
                    <w:suppressAutoHyphens/>
                    <w:spacing w:line="240" w:lineRule="auto"/>
                    <w:ind w:right="-66"/>
                    <w:jc w:val="center"/>
                    <w:rPr>
                      <w:rFonts w:ascii="Times New Roman" w:eastAsia="Times New Roman" w:hAnsi="Times New Roman" w:cs="Times New Roman"/>
                      <w:color w:val="auto"/>
                      <w:sz w:val="20"/>
                      <w:szCs w:val="20"/>
                      <w:lang w:val="uk-UA" w:eastAsia="zh-CN"/>
                    </w:rPr>
                  </w:pPr>
                  <w:r w:rsidRPr="0042377C">
                    <w:rPr>
                      <w:rFonts w:ascii="Times New Roman" w:hAnsi="Times New Roman" w:cs="Times New Roman"/>
                      <w:color w:val="auto"/>
                      <w:sz w:val="20"/>
                      <w:szCs w:val="24"/>
                      <w:lang w:val="uk-UA"/>
                    </w:rPr>
                    <w:t>(за наявності)</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left="-108" w:right="-117"/>
                    <w:jc w:val="center"/>
                    <w:rPr>
                      <w:rFonts w:ascii="Times New Roman" w:eastAsia="Times New Roman" w:hAnsi="Times New Roman" w:cs="Times New Roman"/>
                      <w:color w:val="auto"/>
                      <w:sz w:val="20"/>
                      <w:szCs w:val="20"/>
                      <w:lang w:eastAsia="zh-CN"/>
                    </w:rPr>
                  </w:pPr>
                  <w:r w:rsidRPr="0042377C">
                    <w:rPr>
                      <w:rFonts w:ascii="Times New Roman" w:hAnsi="Times New Roman" w:cs="Times New Roman"/>
                      <w:color w:val="auto"/>
                      <w:sz w:val="20"/>
                      <w:szCs w:val="20"/>
                      <w:lang w:val="uk-UA"/>
                    </w:rPr>
                    <w:t>Кількість, одиниць</w:t>
                  </w:r>
                </w:p>
              </w:tc>
              <w:tc>
                <w:tcPr>
                  <w:tcW w:w="1418" w:type="dxa"/>
                  <w:tcBorders>
                    <w:top w:val="single" w:sz="4" w:space="0" w:color="000000"/>
                    <w:left w:val="single" w:sz="4" w:space="0" w:color="000000"/>
                    <w:bottom w:val="single" w:sz="4" w:space="0" w:color="000000"/>
                    <w:right w:val="single" w:sz="4" w:space="0" w:color="auto"/>
                  </w:tcBorders>
                  <w:hideMark/>
                </w:tcPr>
                <w:p w:rsidR="00E02588"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42377C">
                    <w:rPr>
                      <w:rFonts w:ascii="Times New Roman" w:hAnsi="Times New Roman" w:cs="Times New Roman"/>
                      <w:color w:val="auto"/>
                      <w:sz w:val="20"/>
                      <w:szCs w:val="20"/>
                      <w:lang w:val="uk-UA"/>
                    </w:rPr>
                    <w:t>Власна або орендована чи надані послуги</w:t>
                  </w:r>
                </w:p>
                <w:p w:rsidR="00E02588" w:rsidRPr="00EE6AD4"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EE6AD4">
                    <w:rPr>
                      <w:rFonts w:ascii="Times New Roman" w:hAnsi="Times New Roman" w:cs="Times New Roman"/>
                      <w:color w:val="auto"/>
                      <w:sz w:val="20"/>
                      <w:szCs w:val="20"/>
                      <w:lang w:val="uk-UA"/>
                    </w:rPr>
                    <w:t>(в разі оренди/надання послуг вказати власника машини/</w:t>
                  </w:r>
                </w:p>
                <w:p w:rsidR="00E02588" w:rsidRPr="0042377C" w:rsidRDefault="00E02588" w:rsidP="005530F0">
                  <w:pPr>
                    <w:suppressAutoHyphens/>
                    <w:spacing w:line="240" w:lineRule="auto"/>
                    <w:ind w:left="-108" w:right="-86"/>
                    <w:rPr>
                      <w:rFonts w:ascii="Times New Roman" w:eastAsia="Times New Roman" w:hAnsi="Times New Roman" w:cs="Times New Roman"/>
                      <w:color w:val="auto"/>
                      <w:sz w:val="20"/>
                      <w:szCs w:val="20"/>
                      <w:lang w:eastAsia="zh-CN"/>
                    </w:rPr>
                  </w:pPr>
                  <w:r w:rsidRPr="00EE6AD4">
                    <w:rPr>
                      <w:rFonts w:ascii="Times New Roman" w:hAnsi="Times New Roman" w:cs="Times New Roman"/>
                      <w:color w:val="auto"/>
                      <w:sz w:val="20"/>
                      <w:szCs w:val="20"/>
                      <w:lang w:val="uk-UA"/>
                    </w:rPr>
                    <w:t>механізму)</w:t>
                  </w:r>
                </w:p>
              </w:tc>
              <w:tc>
                <w:tcPr>
                  <w:tcW w:w="1557" w:type="dxa"/>
                  <w:tcBorders>
                    <w:top w:val="single" w:sz="4" w:space="0" w:color="000000"/>
                    <w:left w:val="single" w:sz="4" w:space="0" w:color="auto"/>
                    <w:bottom w:val="single" w:sz="4" w:space="0" w:color="000000"/>
                    <w:right w:val="nil"/>
                  </w:tcBorders>
                </w:tcPr>
                <w:p w:rsidR="00E02588" w:rsidRPr="0042377C" w:rsidRDefault="00E02588" w:rsidP="005530F0">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Дата, № договору, на підставі якого знаходиться в користуванні техніка.</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spacing w:line="240" w:lineRule="auto"/>
                    <w:jc w:val="center"/>
                    <w:rPr>
                      <w:rFonts w:ascii="Times New Roman" w:hAnsi="Times New Roman" w:cs="Times New Roman"/>
                      <w:sz w:val="20"/>
                      <w:szCs w:val="24"/>
                      <w:lang w:val="uk-UA"/>
                    </w:rPr>
                  </w:pPr>
                  <w:r w:rsidRPr="007919A1">
                    <w:rPr>
                      <w:rFonts w:ascii="Times New Roman" w:hAnsi="Times New Roman" w:cs="Times New Roman"/>
                      <w:color w:val="auto"/>
                      <w:sz w:val="20"/>
                      <w:szCs w:val="24"/>
                      <w:lang w:val="uk-UA"/>
                    </w:rPr>
                    <w:t xml:space="preserve">Найменування будівельних машин і  механізмів, </w:t>
                  </w:r>
                  <w:r w:rsidRPr="007919A1">
                    <w:rPr>
                      <w:rFonts w:ascii="Times New Roman" w:hAnsi="Times New Roman" w:cs="Times New Roman"/>
                      <w:bCs/>
                      <w:color w:val="auto"/>
                      <w:sz w:val="20"/>
                      <w:szCs w:val="24"/>
                      <w:lang w:val="uk-UA"/>
                    </w:rPr>
                    <w:t>з переліку, наданого Замовником,</w:t>
                  </w:r>
                </w:p>
                <w:p w:rsidR="00E02588" w:rsidRPr="007919A1" w:rsidRDefault="00E02588" w:rsidP="005530F0">
                  <w:pPr>
                    <w:suppressAutoHyphens/>
                    <w:spacing w:line="240" w:lineRule="auto"/>
                    <w:jc w:val="center"/>
                    <w:rPr>
                      <w:rFonts w:ascii="Times New Roman" w:eastAsia="Times New Roman" w:hAnsi="Times New Roman" w:cs="Times New Roman"/>
                      <w:color w:val="auto"/>
                      <w:sz w:val="20"/>
                      <w:szCs w:val="20"/>
                      <w:lang w:eastAsia="zh-CN"/>
                    </w:rPr>
                  </w:pPr>
                  <w:r w:rsidRPr="007919A1">
                    <w:rPr>
                      <w:rFonts w:ascii="Times New Roman" w:hAnsi="Times New Roman" w:cs="Times New Roman"/>
                      <w:sz w:val="20"/>
                      <w:szCs w:val="24"/>
                      <w:lang w:val="uk-UA"/>
                    </w:rPr>
                    <w:t xml:space="preserve">замість яких </w:t>
                  </w:r>
                  <w:r w:rsidRPr="007919A1">
                    <w:rPr>
                      <w:rFonts w:ascii="Times New Roman" w:hAnsi="Times New Roman" w:cs="Times New Roman"/>
                      <w:bCs/>
                      <w:color w:val="auto"/>
                      <w:sz w:val="20"/>
                      <w:szCs w:val="24"/>
                      <w:lang w:val="uk-UA"/>
                    </w:rPr>
                    <w:t>планується використовувати аналогічні  машини, зазначені в кол.2 таблиці (</w:t>
                  </w:r>
                  <w:r w:rsidRPr="007919A1">
                    <w:rPr>
                      <w:rFonts w:ascii="Times New Roman" w:hAnsi="Times New Roman" w:cs="Times New Roman"/>
                      <w:b/>
                      <w:bCs/>
                      <w:color w:val="auto"/>
                      <w:sz w:val="20"/>
                      <w:szCs w:val="24"/>
                      <w:lang w:val="uk-UA"/>
                    </w:rPr>
                    <w:t xml:space="preserve">заповнюється в разі зазначення аналогу в </w:t>
                  </w:r>
                  <w:proofErr w:type="spellStart"/>
                  <w:r w:rsidRPr="007919A1">
                    <w:rPr>
                      <w:rFonts w:ascii="Times New Roman" w:hAnsi="Times New Roman" w:cs="Times New Roman"/>
                      <w:b/>
                      <w:bCs/>
                      <w:color w:val="auto"/>
                      <w:sz w:val="20"/>
                      <w:szCs w:val="24"/>
                      <w:lang w:val="uk-UA"/>
                    </w:rPr>
                    <w:t>кол</w:t>
                  </w:r>
                  <w:proofErr w:type="spellEnd"/>
                  <w:r w:rsidRPr="007919A1">
                    <w:rPr>
                      <w:rFonts w:ascii="Times New Roman" w:hAnsi="Times New Roman" w:cs="Times New Roman"/>
                      <w:b/>
                      <w:bCs/>
                      <w:color w:val="auto"/>
                      <w:sz w:val="20"/>
                      <w:szCs w:val="24"/>
                      <w:lang w:val="uk-UA"/>
                    </w:rPr>
                    <w:t>. 2)</w:t>
                  </w:r>
                </w:p>
              </w:tc>
            </w:tr>
            <w:tr w:rsidR="00E02588" w:rsidRPr="0042377C" w:rsidTr="00B34176">
              <w:trPr>
                <w:trHeight w:val="290"/>
              </w:trPr>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1</w:t>
                  </w:r>
                </w:p>
              </w:tc>
              <w:tc>
                <w:tcPr>
                  <w:tcW w:w="1349"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2</w:t>
                  </w: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3</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4</w:t>
                  </w:r>
                </w:p>
              </w:tc>
              <w:tc>
                <w:tcPr>
                  <w:tcW w:w="1418" w:type="dxa"/>
                  <w:tcBorders>
                    <w:top w:val="single" w:sz="4" w:space="0" w:color="000000"/>
                    <w:left w:val="single" w:sz="4" w:space="0" w:color="000000"/>
                    <w:bottom w:val="single" w:sz="4" w:space="0" w:color="000000"/>
                    <w:right w:val="single" w:sz="4" w:space="0" w:color="auto"/>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5</w:t>
                  </w:r>
                </w:p>
              </w:tc>
              <w:tc>
                <w:tcPr>
                  <w:tcW w:w="1557" w:type="dxa"/>
                  <w:tcBorders>
                    <w:top w:val="single" w:sz="4" w:space="0" w:color="000000"/>
                    <w:left w:val="single" w:sz="4" w:space="0" w:color="auto"/>
                    <w:bottom w:val="single" w:sz="4" w:space="0" w:color="000000"/>
                    <w:right w:val="nil"/>
                  </w:tcBorders>
                </w:tcPr>
                <w:p w:rsidR="00E02588" w:rsidRPr="00CD0630" w:rsidRDefault="00E02588" w:rsidP="005530F0">
                  <w:pPr>
                    <w:suppressAutoHyphens/>
                    <w:jc w:val="center"/>
                    <w:rPr>
                      <w:rFonts w:ascii="Times New Roman" w:eastAsia="Times New Roman" w:hAnsi="Times New Roman" w:cs="Times New Roman"/>
                      <w:color w:val="auto"/>
                      <w:sz w:val="20"/>
                      <w:szCs w:val="20"/>
                      <w:lang w:val="uk-UA" w:eastAsia="zh-CN"/>
                    </w:rPr>
                  </w:pPr>
                  <w:r>
                    <w:rPr>
                      <w:rFonts w:ascii="Times New Roman" w:eastAsia="Times New Roman" w:hAnsi="Times New Roman" w:cs="Times New Roman"/>
                      <w:color w:val="auto"/>
                      <w:sz w:val="20"/>
                      <w:szCs w:val="20"/>
                      <w:lang w:val="uk-UA" w:eastAsia="zh-CN"/>
                    </w:rPr>
                    <w:t>6</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jc w:val="center"/>
                    <w:rPr>
                      <w:rFonts w:ascii="Times New Roman" w:eastAsia="Times New Roman" w:hAnsi="Times New Roman" w:cs="Times New Roman"/>
                      <w:color w:val="auto"/>
                      <w:sz w:val="20"/>
                      <w:szCs w:val="20"/>
                      <w:lang w:val="uk-UA" w:eastAsia="zh-CN"/>
                    </w:rPr>
                  </w:pPr>
                  <w:r w:rsidRPr="007919A1">
                    <w:rPr>
                      <w:rFonts w:ascii="Times New Roman" w:eastAsia="Times New Roman" w:hAnsi="Times New Roman" w:cs="Times New Roman"/>
                      <w:color w:val="auto"/>
                      <w:sz w:val="20"/>
                      <w:szCs w:val="20"/>
                      <w:lang w:val="uk-UA" w:eastAsia="zh-CN"/>
                    </w:rPr>
                    <w:t>7</w:t>
                  </w:r>
                </w:p>
              </w:tc>
            </w:tr>
          </w:tbl>
          <w:p w:rsidR="00E02588" w:rsidRDefault="00E02588" w:rsidP="002A6079">
            <w:pPr>
              <w:jc w:val="both"/>
              <w:rPr>
                <w:rFonts w:ascii="Times New Roman" w:hAnsi="Times New Roman" w:cs="Times New Roman"/>
                <w:sz w:val="24"/>
                <w:lang w:val="uk-UA"/>
              </w:rPr>
            </w:pPr>
          </w:p>
        </w:tc>
      </w:tr>
      <w:tr w:rsidR="00E02588"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2. Наявність </w:t>
            </w:r>
            <w:r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Pr="00B25785">
              <w:rPr>
                <w:rFonts w:ascii="Times New Roman" w:hAnsi="Times New Roman" w:cs="Times New Roman"/>
                <w:bCs/>
                <w:sz w:val="24"/>
                <w:szCs w:val="24"/>
                <w:lang w:val="uk-UA"/>
              </w:rPr>
              <w:t xml:space="preserve"> відповідної</w:t>
            </w:r>
            <w:r w:rsidRPr="004B2581">
              <w:rPr>
                <w:rFonts w:ascii="Times New Roman" w:hAnsi="Times New Roman" w:cs="Times New Roman"/>
                <w:bCs/>
                <w:sz w:val="24"/>
                <w:szCs w:val="24"/>
                <w:lang w:val="uk-UA"/>
              </w:rPr>
              <w:t xml:space="preserve"> кваліфікації, які мають необхідні знання та </w:t>
            </w:r>
            <w:r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подаються довідки про наявність інженерно-технічного персоналу та про наявність робітників робочих професій та/або осіб за договорами ЦПХ (відповідно до форм наведених нижче), які підтверджують наявність працівників відповідної кваліфікації, які мають необхідні знання та досвід для виконання робіт, що є предметом закупівлі.</w:t>
            </w:r>
          </w:p>
          <w:p w:rsidR="005704E1" w:rsidRDefault="005704E1" w:rsidP="00E02588">
            <w:pPr>
              <w:jc w:val="both"/>
              <w:rPr>
                <w:rFonts w:ascii="Times New Roman" w:hAnsi="Times New Roman" w:cs="Times New Roman"/>
                <w:bCs/>
                <w:color w:val="auto"/>
                <w:sz w:val="24"/>
                <w:szCs w:val="24"/>
                <w:lang w:val="uk-UA"/>
              </w:rPr>
            </w:pPr>
            <w:r w:rsidRPr="005704E1">
              <w:rPr>
                <w:rFonts w:ascii="Times New Roman" w:hAnsi="Times New Roman" w:cs="Times New Roman"/>
                <w:bCs/>
                <w:color w:val="auto"/>
                <w:sz w:val="24"/>
                <w:szCs w:val="24"/>
                <w:lang w:val="uk-UA"/>
              </w:rPr>
              <w:t xml:space="preserve">Загальна кількість працівників, включених до Довідок, повинна бути не менше </w:t>
            </w:r>
            <w:r w:rsidR="00221A28" w:rsidRPr="004F1A77">
              <w:rPr>
                <w:rFonts w:ascii="Times New Roman" w:hAnsi="Times New Roman" w:cs="Times New Roman"/>
                <w:bCs/>
                <w:color w:val="auto"/>
                <w:sz w:val="24"/>
                <w:szCs w:val="24"/>
                <w:lang w:val="uk-UA"/>
              </w:rPr>
              <w:t>5</w:t>
            </w:r>
            <w:r w:rsidR="005F3848" w:rsidRPr="004F1A77">
              <w:rPr>
                <w:rFonts w:ascii="Times New Roman" w:hAnsi="Times New Roman" w:cs="Times New Roman"/>
                <w:bCs/>
                <w:color w:val="auto"/>
                <w:sz w:val="24"/>
                <w:szCs w:val="24"/>
                <w:lang w:val="uk-UA"/>
              </w:rPr>
              <w:t>-т</w:t>
            </w:r>
            <w:r w:rsidRPr="004F1A77">
              <w:rPr>
                <w:rFonts w:ascii="Times New Roman" w:hAnsi="Times New Roman" w:cs="Times New Roman"/>
                <w:bCs/>
                <w:color w:val="auto"/>
                <w:sz w:val="24"/>
                <w:szCs w:val="24"/>
                <w:lang w:val="uk-UA"/>
              </w:rPr>
              <w:t>и осіб</w:t>
            </w:r>
            <w:r w:rsidRPr="00663A19">
              <w:rPr>
                <w:rFonts w:ascii="Times New Roman" w:hAnsi="Times New Roman" w:cs="Times New Roman"/>
                <w:bCs/>
                <w:color w:val="FF0000"/>
                <w:sz w:val="24"/>
                <w:szCs w:val="24"/>
                <w:lang w:val="uk-UA"/>
              </w:rPr>
              <w:t xml:space="preserve"> </w:t>
            </w:r>
            <w:r w:rsidRPr="005704E1">
              <w:rPr>
                <w:rFonts w:ascii="Times New Roman" w:hAnsi="Times New Roman" w:cs="Times New Roman"/>
                <w:bCs/>
                <w:color w:val="auto"/>
                <w:sz w:val="24"/>
                <w:szCs w:val="24"/>
                <w:lang w:val="uk-UA"/>
              </w:rPr>
              <w:t xml:space="preserve">(без врахування адміністративного персоналу: бухгалтерів, економістів, юристів тощо), що будуть безпосередньо виконувати роботи за предметом закупівлі на об’єкті, обов’язкова наявність виконуючого робіт (виконроб). </w:t>
            </w:r>
          </w:p>
          <w:p w:rsidR="00E02588" w:rsidRDefault="003245DC" w:rsidP="00E02588">
            <w:pPr>
              <w:jc w:val="both"/>
              <w:rPr>
                <w:rFonts w:eastAsiaTheme="minorHAnsi"/>
                <w:shd w:val="clear" w:color="auto" w:fill="FFFFFF"/>
                <w:lang w:val="uk-UA" w:eastAsia="en-US"/>
              </w:rPr>
            </w:pPr>
            <w:r w:rsidRPr="003245DC">
              <w:rPr>
                <w:rFonts w:ascii="Times New Roman" w:hAnsi="Times New Roman" w:cs="Times New Roman"/>
                <w:bCs/>
                <w:color w:val="auto"/>
                <w:sz w:val="24"/>
                <w:szCs w:val="24"/>
                <w:lang w:val="uk-UA"/>
              </w:rPr>
              <w:t xml:space="preserve">Наявність інженерно-технічного персоналу обов’язкова. Інженерно-технічний персонал обов’язково повинен мати трудові відносини безпосередньо з Учасником, тобто прийнятими на роботу в штат за наказом або трудовим контрактом. В довідці про наявність інженерно-технічного персоналу обов’язково відображається інформація про виконуючого робіт. Кваліфікація та освіта інженерно-технічного </w:t>
            </w:r>
            <w:r w:rsidRPr="003245DC">
              <w:rPr>
                <w:rFonts w:ascii="Times New Roman" w:hAnsi="Times New Roman" w:cs="Times New Roman"/>
                <w:bCs/>
                <w:color w:val="auto"/>
                <w:sz w:val="24"/>
                <w:szCs w:val="24"/>
                <w:lang w:val="uk-UA"/>
              </w:rPr>
              <w:lastRenderedPageBreak/>
              <w:t>персоналу повинна відповідати Довіднику кваліфікаційних характеристик професій працівників Випуск 64 Будівельні, монтажні та ремонтно-будівельні роботи, затверджений Наказом Державного комітету будівництва, архітектури та житлової політики України 13.10.1999 №249 (зі змінами).</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відповідної кваліфікації, які мають необхідні знання та досвід для виконання робіт</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B34176"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lastRenderedPageBreak/>
              <w:t>Наявність інженерно-технічного персоналу</w:t>
            </w:r>
          </w:p>
          <w:tbl>
            <w:tblPr>
              <w:tblW w:w="9493" w:type="dxa"/>
              <w:tblLayout w:type="fixed"/>
              <w:tblLook w:val="04A0"/>
            </w:tblPr>
            <w:tblGrid>
              <w:gridCol w:w="738"/>
              <w:gridCol w:w="958"/>
              <w:gridCol w:w="1560"/>
              <w:gridCol w:w="2835"/>
              <w:gridCol w:w="1984"/>
              <w:gridCol w:w="1418"/>
            </w:tblGrid>
            <w:tr w:rsidR="00E02588" w:rsidRPr="00D51BBB" w:rsidTr="00B34176">
              <w:trPr>
                <w:trHeight w:val="122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keepLines/>
                    <w:suppressAutoHyphens/>
                    <w:autoSpaceDE w:val="0"/>
                    <w:ind w:left="-134" w:right="-92"/>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Посада</w:t>
                  </w:r>
                </w:p>
              </w:tc>
              <w:tc>
                <w:tcPr>
                  <w:tcW w:w="1560"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ind w:left="-32" w:right="-41"/>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ind w:left="-32" w:right="-41"/>
                    <w:jc w:val="center"/>
                    <w:rPr>
                      <w:rFonts w:ascii="Times New Roman" w:hAnsi="Times New Roman" w:cs="Times New Roman"/>
                      <w:sz w:val="20"/>
                      <w:szCs w:val="20"/>
                      <w:lang w:eastAsia="zh-CN"/>
                    </w:rPr>
                  </w:pPr>
                  <w:r w:rsidRPr="00B54FD2">
                    <w:rPr>
                      <w:rFonts w:ascii="Times New Roman" w:hAnsi="Times New Roman" w:cs="Times New Roman"/>
                      <w:sz w:val="20"/>
                      <w:szCs w:val="20"/>
                      <w:lang w:val="uk-UA"/>
                    </w:rPr>
                    <w:t>(повністю)</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08" w:right="-85"/>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w:t>
                  </w:r>
                  <w:r w:rsidRPr="00B54FD2">
                    <w:rPr>
                      <w:rFonts w:ascii="Times New Roman" w:eastAsia="Times New Roman" w:hAnsi="Times New Roman" w:cs="Times New Roman"/>
                      <w:color w:val="auto"/>
                      <w:sz w:val="20"/>
                      <w:szCs w:val="20"/>
                      <w:u w:val="single"/>
                      <w:lang w:val="uk-UA" w:eastAsia="zh-CN"/>
                    </w:rPr>
                    <w:t>фахову</w:t>
                  </w:r>
                  <w:r w:rsidRPr="00B54FD2">
                    <w:rPr>
                      <w:rFonts w:ascii="Times New Roman" w:eastAsia="Times New Roman" w:hAnsi="Times New Roman" w:cs="Times New Roman"/>
                      <w:color w:val="auto"/>
                      <w:sz w:val="20"/>
                      <w:szCs w:val="20"/>
                      <w:lang w:val="uk-UA" w:eastAsia="zh-CN"/>
                    </w:rPr>
                    <w:t xml:space="preserve"> освіту (назва документу, повна назва навчального закладу, номер та рік видачі, спеціалізація, кваліфікація)</w:t>
                  </w:r>
                </w:p>
              </w:tc>
              <w:tc>
                <w:tcPr>
                  <w:tcW w:w="1984"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1"/>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(номер наказу, та його дата)</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keepLines/>
                    <w:suppressAutoHyphens/>
                    <w:autoSpaceDE w:val="0"/>
                    <w:spacing w:line="240" w:lineRule="auto"/>
                    <w:ind w:left="-108"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B34176">
              <w:trPr>
                <w:trHeight w:val="26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1</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2</w:t>
                  </w:r>
                </w:p>
              </w:tc>
              <w:tc>
                <w:tcPr>
                  <w:tcW w:w="156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3</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4</w:t>
                  </w:r>
                </w:p>
              </w:tc>
              <w:tc>
                <w:tcPr>
                  <w:tcW w:w="198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6</w:t>
                  </w:r>
                </w:p>
              </w:tc>
            </w:tr>
          </w:tbl>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4F1A77" w:rsidTr="00516B0F">
        <w:tc>
          <w:tcPr>
            <w:tcW w:w="2235" w:type="dxa"/>
            <w:gridSpan w:val="3"/>
          </w:tcPr>
          <w:p w:rsidR="00E02588" w:rsidRDefault="004F1A77">
            <w:pPr>
              <w:rPr>
                <w:rFonts w:ascii="Times New Roman" w:hAnsi="Times New Roman" w:cs="Times New Roman"/>
                <w:sz w:val="24"/>
                <w:lang w:val="uk-UA"/>
              </w:rPr>
            </w:pPr>
            <w:r>
              <w:rPr>
                <w:rFonts w:ascii="Times New Roman" w:hAnsi="Times New Roman" w:cs="Times New Roman"/>
                <w:bCs/>
                <w:sz w:val="24"/>
                <w:szCs w:val="24"/>
                <w:lang w:val="uk-UA"/>
              </w:rPr>
              <w:t>3</w:t>
            </w:r>
            <w:r w:rsidR="00B34176" w:rsidRPr="000030CD">
              <w:rPr>
                <w:rFonts w:ascii="Times New Roman" w:hAnsi="Times New Roman" w:cs="Times New Roman"/>
                <w:bCs/>
                <w:sz w:val="24"/>
                <w:szCs w:val="24"/>
                <w:lang w:val="uk-UA"/>
              </w:rPr>
              <w:t xml:space="preserve">. </w:t>
            </w:r>
            <w:r w:rsidR="00B34176" w:rsidRPr="000030CD">
              <w:rPr>
                <w:rFonts w:ascii="Times New Roman" w:eastAsia="Times New Roman" w:hAnsi="Times New Roman" w:cs="Times New Roman"/>
                <w:color w:val="auto"/>
                <w:sz w:val="24"/>
                <w:szCs w:val="24"/>
                <w:lang w:val="uk-UA"/>
              </w:rPr>
              <w:t>Інформація на відповідність кваліфікаційним критеріям, в разі залучення потужностей інших суб’єктів господарювання як субпідрядників/співвиконавців</w:t>
            </w:r>
          </w:p>
        </w:tc>
        <w:tc>
          <w:tcPr>
            <w:tcW w:w="7717" w:type="dxa"/>
            <w:gridSpan w:val="2"/>
          </w:tcPr>
          <w:p w:rsidR="00E02588" w:rsidRDefault="00B34176">
            <w:pPr>
              <w:rPr>
                <w:rFonts w:ascii="Times New Roman" w:hAnsi="Times New Roman" w:cs="Times New Roman"/>
                <w:sz w:val="24"/>
                <w:lang w:val="uk-UA"/>
              </w:rPr>
            </w:pPr>
            <w:r>
              <w:rPr>
                <w:rFonts w:ascii="Times New Roman" w:hAnsi="Times New Roman" w:cs="Times New Roman"/>
                <w:sz w:val="24"/>
                <w:lang w:val="uk-UA"/>
              </w:rPr>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Pr="00AE7281">
              <w:rPr>
                <w:rFonts w:ascii="Times New Roman" w:hAnsi="Times New Roman" w:cs="Times New Roman"/>
                <w:sz w:val="24"/>
                <w:lang w:val="uk-UA"/>
              </w:rPr>
              <w:t xml:space="preserve"> таки</w:t>
            </w:r>
            <w:r>
              <w:rPr>
                <w:rFonts w:ascii="Times New Roman" w:hAnsi="Times New Roman" w:cs="Times New Roman"/>
                <w:sz w:val="24"/>
                <w:lang w:val="uk-UA"/>
              </w:rPr>
              <w:t>х</w:t>
            </w:r>
            <w:r w:rsidRPr="00AE7281">
              <w:rPr>
                <w:rFonts w:ascii="Times New Roman" w:hAnsi="Times New Roman" w:cs="Times New Roman"/>
                <w:sz w:val="24"/>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4F1A77"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w:t>
            </w:r>
            <w:r w:rsidR="008B1E68" w:rsidRPr="001264D6">
              <w:rPr>
                <w:rFonts w:ascii="Times New Roman" w:eastAsia="Times New Roman" w:hAnsi="Times New Roman" w:cs="Times New Roman"/>
                <w:color w:val="auto"/>
                <w:sz w:val="24"/>
                <w:szCs w:val="24"/>
                <w:lang w:val="uk-UA"/>
              </w:rPr>
              <w:lastRenderedPageBreak/>
              <w:t>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8B1E68">
            <w:pPr>
              <w:rPr>
                <w:rFonts w:ascii="Times New Roman" w:hAnsi="Times New Roman" w:cs="Times New Roman"/>
                <w:sz w:val="24"/>
                <w:lang w:val="uk-UA"/>
              </w:rPr>
            </w:pPr>
            <w:r w:rsidRPr="00E05894">
              <w:rPr>
                <w:rFonts w:ascii="Times New Roman" w:hAnsi="Times New Roman" w:cs="Times New Roman"/>
                <w:sz w:val="24"/>
                <w:lang w:val="uk-UA"/>
              </w:rPr>
              <w:t>Вартість робіт, зазначена в електронній системі закупівель під час подання пропозиції, повинна співпадати з вартістю робіт, зазначеною в Додатку 1, договірній ціні та зведеному кошторисі.</w:t>
            </w:r>
          </w:p>
        </w:tc>
      </w:tr>
      <w:tr w:rsidR="00E02588" w:rsidRPr="004F1A77"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lastRenderedPageBreak/>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щодо субпідрядників/співвиконавців, яких планується залучити для виконання робіт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Якщо Учасник не передбачає залучати субпідрядні організації до виконання робіт 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E02588"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EE51F6">
              <w:rPr>
                <w:rFonts w:ascii="Times New Roman" w:hAnsi="Times New Roman" w:cs="Times New Roman"/>
                <w:sz w:val="24"/>
                <w:lang w:val="uk-UA"/>
              </w:rPr>
              <w:t xml:space="preserve">паперовому вигляді </w:t>
            </w:r>
            <w:r w:rsidRPr="001B4732">
              <w:rPr>
                <w:rFonts w:ascii="Times New Roman" w:hAnsi="Times New Roman" w:cs="Times New Roman"/>
                <w:sz w:val="24"/>
                <w:lang w:val="uk-UA"/>
              </w:rPr>
              <w:t>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r w:rsidR="00F36A72">
              <w:rPr>
                <w:rFonts w:ascii="Times New Roman" w:hAnsi="Times New Roman" w:cs="Times New Roman"/>
                <w:sz w:val="24"/>
                <w:lang w:val="uk-UA"/>
              </w:rPr>
              <w:t>.</w:t>
            </w:r>
          </w:p>
        </w:tc>
      </w:tr>
    </w:tbl>
    <w:p w:rsidR="00E02588" w:rsidRPr="00E02588" w:rsidRDefault="00E02588" w:rsidP="00F36A72">
      <w:pPr>
        <w:pStyle w:val="a5"/>
        <w:jc w:val="center"/>
        <w:rPr>
          <w:rFonts w:ascii="Times New Roman" w:hAnsi="Times New Roman" w:cs="Times New Roman"/>
          <w:sz w:val="24"/>
          <w:lang w:val="uk-UA"/>
        </w:rPr>
      </w:pP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56C58"/>
    <w:rsid w:val="000C3526"/>
    <w:rsid w:val="000C3D24"/>
    <w:rsid w:val="000C6416"/>
    <w:rsid w:val="000F5272"/>
    <w:rsid w:val="00116480"/>
    <w:rsid w:val="001362FF"/>
    <w:rsid w:val="00154D17"/>
    <w:rsid w:val="001617B3"/>
    <w:rsid w:val="001638B8"/>
    <w:rsid w:val="001A79BF"/>
    <w:rsid w:val="001B4732"/>
    <w:rsid w:val="00221A28"/>
    <w:rsid w:val="00230997"/>
    <w:rsid w:val="00242763"/>
    <w:rsid w:val="002462F2"/>
    <w:rsid w:val="00251AA4"/>
    <w:rsid w:val="00255BD7"/>
    <w:rsid w:val="002970AA"/>
    <w:rsid w:val="002A596B"/>
    <w:rsid w:val="002A6079"/>
    <w:rsid w:val="002B07E1"/>
    <w:rsid w:val="002C4E2D"/>
    <w:rsid w:val="002E2BBF"/>
    <w:rsid w:val="002E77F2"/>
    <w:rsid w:val="003245DC"/>
    <w:rsid w:val="00354E9F"/>
    <w:rsid w:val="003834D2"/>
    <w:rsid w:val="003854F1"/>
    <w:rsid w:val="00387607"/>
    <w:rsid w:val="003A3E17"/>
    <w:rsid w:val="00403F85"/>
    <w:rsid w:val="004707AC"/>
    <w:rsid w:val="00476A05"/>
    <w:rsid w:val="004B1B1B"/>
    <w:rsid w:val="004B2574"/>
    <w:rsid w:val="004B359D"/>
    <w:rsid w:val="004C31C9"/>
    <w:rsid w:val="004F1A77"/>
    <w:rsid w:val="005168F8"/>
    <w:rsid w:val="00516B0F"/>
    <w:rsid w:val="005650F1"/>
    <w:rsid w:val="005704E1"/>
    <w:rsid w:val="0058310F"/>
    <w:rsid w:val="005A74BB"/>
    <w:rsid w:val="005B0985"/>
    <w:rsid w:val="005B34AE"/>
    <w:rsid w:val="005C0395"/>
    <w:rsid w:val="005D0FCB"/>
    <w:rsid w:val="005D51FB"/>
    <w:rsid w:val="005E72ED"/>
    <w:rsid w:val="005F3848"/>
    <w:rsid w:val="005F512D"/>
    <w:rsid w:val="00656E1E"/>
    <w:rsid w:val="00663A19"/>
    <w:rsid w:val="00685F67"/>
    <w:rsid w:val="006F38D1"/>
    <w:rsid w:val="006F3BBF"/>
    <w:rsid w:val="00706C6A"/>
    <w:rsid w:val="007218F3"/>
    <w:rsid w:val="0073183C"/>
    <w:rsid w:val="007730F3"/>
    <w:rsid w:val="00793859"/>
    <w:rsid w:val="007B37B1"/>
    <w:rsid w:val="007C62EA"/>
    <w:rsid w:val="007C7A5A"/>
    <w:rsid w:val="007F729C"/>
    <w:rsid w:val="008014BC"/>
    <w:rsid w:val="00832B12"/>
    <w:rsid w:val="00855CCD"/>
    <w:rsid w:val="008731E6"/>
    <w:rsid w:val="008737E9"/>
    <w:rsid w:val="00885280"/>
    <w:rsid w:val="008B1E68"/>
    <w:rsid w:val="008F40D9"/>
    <w:rsid w:val="00910870"/>
    <w:rsid w:val="00914A9B"/>
    <w:rsid w:val="009251AB"/>
    <w:rsid w:val="00927963"/>
    <w:rsid w:val="009B4960"/>
    <w:rsid w:val="00AA7170"/>
    <w:rsid w:val="00AC38A0"/>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9774B"/>
    <w:rsid w:val="00BD4CE3"/>
    <w:rsid w:val="00BF19B0"/>
    <w:rsid w:val="00C12838"/>
    <w:rsid w:val="00C24D28"/>
    <w:rsid w:val="00C55B0F"/>
    <w:rsid w:val="00CB3D7E"/>
    <w:rsid w:val="00CC7D67"/>
    <w:rsid w:val="00CF4261"/>
    <w:rsid w:val="00D73CAD"/>
    <w:rsid w:val="00DB2AA3"/>
    <w:rsid w:val="00DC2CD1"/>
    <w:rsid w:val="00E02588"/>
    <w:rsid w:val="00E0443E"/>
    <w:rsid w:val="00E06374"/>
    <w:rsid w:val="00E4142F"/>
    <w:rsid w:val="00E43CE6"/>
    <w:rsid w:val="00E90F2B"/>
    <w:rsid w:val="00EC3A37"/>
    <w:rsid w:val="00EE51F6"/>
    <w:rsid w:val="00F0577E"/>
    <w:rsid w:val="00F0732E"/>
    <w:rsid w:val="00F36A72"/>
    <w:rsid w:val="00F41087"/>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4</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80</cp:revision>
  <dcterms:created xsi:type="dcterms:W3CDTF">2020-05-19T04:51:00Z</dcterms:created>
  <dcterms:modified xsi:type="dcterms:W3CDTF">2024-02-23T12:43:00Z</dcterms:modified>
</cp:coreProperties>
</file>