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47" w:rsidRPr="00DD0DF0" w:rsidRDefault="00640747" w:rsidP="00640747">
      <w:pPr>
        <w:pStyle w:val="20"/>
        <w:keepNext/>
        <w:keepLines/>
        <w:spacing w:before="0" w:after="0" w:line="240" w:lineRule="auto"/>
        <w:jc w:val="right"/>
        <w:rPr>
          <w:rFonts w:ascii="Times New Roman" w:hAnsi="Times New Roman" w:cs="Times New Roman"/>
          <w:b/>
          <w:bCs/>
          <w:lang w:val="uk-UA" w:eastAsia="uk-UA"/>
        </w:rPr>
      </w:pPr>
      <w:r w:rsidRPr="00DD0DF0">
        <w:rPr>
          <w:rFonts w:ascii="Times New Roman" w:hAnsi="Times New Roman" w:cs="Times New Roman"/>
          <w:b/>
          <w:bCs/>
          <w:lang w:val="uk-UA" w:eastAsia="uk-UA"/>
        </w:rPr>
        <w:t>ДОДАТОК № 4</w:t>
      </w:r>
    </w:p>
    <w:p w:rsidR="00640747" w:rsidRPr="00DD0DF0" w:rsidRDefault="00640747" w:rsidP="00640747">
      <w:pPr>
        <w:pStyle w:val="20"/>
        <w:keepNext/>
        <w:keepLines/>
        <w:spacing w:before="0" w:after="0" w:line="240" w:lineRule="auto"/>
        <w:ind w:firstLine="284"/>
        <w:jc w:val="right"/>
        <w:rPr>
          <w:rFonts w:ascii="Times New Roman" w:hAnsi="Times New Roman" w:cs="Times New Roman"/>
          <w:b/>
          <w:bCs/>
          <w:lang w:val="uk-UA" w:eastAsia="uk-UA"/>
        </w:rPr>
      </w:pPr>
      <w:r w:rsidRPr="00DD0DF0">
        <w:rPr>
          <w:rFonts w:ascii="Times New Roman" w:hAnsi="Times New Roman" w:cs="Times New Roman"/>
          <w:b/>
          <w:bCs/>
          <w:lang w:val="uk-UA" w:eastAsia="uk-UA"/>
        </w:rPr>
        <w:t>до тендерної документації</w:t>
      </w:r>
    </w:p>
    <w:p w:rsidR="00640747" w:rsidRPr="00DD0DF0" w:rsidRDefault="00640747" w:rsidP="00640747">
      <w:pPr>
        <w:rPr>
          <w:rFonts w:eastAsiaTheme="minorHAnsi"/>
          <w:b/>
          <w:bCs/>
          <w:lang w:val="uk-UA" w:eastAsia="uk-UA"/>
        </w:rPr>
      </w:pPr>
    </w:p>
    <w:p w:rsidR="00640747" w:rsidRPr="00DD0DF0" w:rsidRDefault="00640747" w:rsidP="00640747">
      <w:pPr>
        <w:jc w:val="center"/>
        <w:rPr>
          <w:b/>
          <w:bCs/>
          <w:lang w:val="uk-UA" w:eastAsia="uk-UA"/>
        </w:rPr>
      </w:pPr>
      <w:r w:rsidRPr="00DD0DF0">
        <w:rPr>
          <w:b/>
          <w:bCs/>
          <w:lang w:val="uk-UA" w:eastAsia="uk-UA"/>
        </w:rPr>
        <w:t xml:space="preserve">ІНФОРМАЦІЯ ПРО НЕОБХІДНІ ТЕХНІЧНІ, </w:t>
      </w:r>
    </w:p>
    <w:p w:rsidR="00640747" w:rsidRPr="00DD0DF0" w:rsidRDefault="00640747" w:rsidP="00640747">
      <w:pPr>
        <w:jc w:val="center"/>
        <w:rPr>
          <w:b/>
          <w:bCs/>
          <w:lang w:val="uk-UA" w:eastAsia="uk-UA"/>
        </w:rPr>
      </w:pPr>
      <w:r w:rsidRPr="00DD0DF0">
        <w:rPr>
          <w:b/>
          <w:bCs/>
          <w:lang w:val="uk-UA" w:eastAsia="uk-UA"/>
        </w:rPr>
        <w:t xml:space="preserve">ЯКІСНІ ТА КІЛЬКІСНІ ХАРАКТЕРИСТИКИ ПРЕДМЕТА ЗАКУПІВЛІ </w:t>
      </w:r>
    </w:p>
    <w:p w:rsidR="00640747" w:rsidRPr="00DD0DF0" w:rsidRDefault="00640747" w:rsidP="00640747">
      <w:pPr>
        <w:ind w:firstLine="284"/>
        <w:jc w:val="both"/>
        <w:rPr>
          <w:i/>
          <w:sz w:val="20"/>
          <w:szCs w:val="20"/>
          <w:lang w:val="uk-UA"/>
        </w:rPr>
      </w:pPr>
    </w:p>
    <w:p w:rsidR="00640747" w:rsidRPr="00DD0DF0" w:rsidRDefault="00640747" w:rsidP="00640747">
      <w:pPr>
        <w:ind w:firstLine="284"/>
        <w:jc w:val="center"/>
        <w:rPr>
          <w:b/>
          <w:shd w:val="clear" w:color="auto" w:fill="FFFFFF"/>
          <w:lang w:val="uk-UA"/>
        </w:rPr>
      </w:pPr>
      <w:r w:rsidRPr="00DD0DF0">
        <w:rPr>
          <w:b/>
          <w:shd w:val="clear" w:color="auto" w:fill="FFFFFF"/>
          <w:lang w:val="uk-UA"/>
        </w:rPr>
        <w:t>ТЕХНІЧНА СПЕЦИФІКАЦІЯ</w:t>
      </w:r>
    </w:p>
    <w:p w:rsidR="00640747" w:rsidRPr="00DD0DF0" w:rsidRDefault="00640747" w:rsidP="00640747">
      <w:pPr>
        <w:ind w:firstLine="284"/>
        <w:jc w:val="center"/>
        <w:rPr>
          <w:b/>
          <w:shd w:val="clear" w:color="auto" w:fill="FFFFFF"/>
          <w:lang w:val="uk-UA"/>
        </w:rPr>
      </w:pPr>
    </w:p>
    <w:tbl>
      <w:tblPr>
        <w:tblStyle w:val="a3"/>
        <w:tblW w:w="0" w:type="auto"/>
        <w:tblLook w:val="04A0" w:firstRow="1" w:lastRow="0" w:firstColumn="1" w:lastColumn="0" w:noHBand="0" w:noVBand="1"/>
      </w:tblPr>
      <w:tblGrid>
        <w:gridCol w:w="447"/>
        <w:gridCol w:w="6434"/>
        <w:gridCol w:w="1877"/>
        <w:gridCol w:w="1437"/>
      </w:tblGrid>
      <w:tr w:rsidR="00640747" w:rsidRPr="00DD0DF0" w:rsidTr="005129D3">
        <w:trPr>
          <w:trHeight w:val="229"/>
        </w:trPr>
        <w:tc>
          <w:tcPr>
            <w:tcW w:w="447" w:type="dxa"/>
            <w:vAlign w:val="center"/>
          </w:tcPr>
          <w:p w:rsidR="00640747" w:rsidRPr="00DD0DF0" w:rsidRDefault="00640747" w:rsidP="005129D3">
            <w:pPr>
              <w:jc w:val="center"/>
              <w:rPr>
                <w:b/>
                <w:sz w:val="22"/>
                <w:shd w:val="clear" w:color="auto" w:fill="FFFFFF"/>
                <w:lang w:val="uk-UA"/>
              </w:rPr>
            </w:pPr>
            <w:r w:rsidRPr="00DD0DF0">
              <w:rPr>
                <w:b/>
                <w:sz w:val="22"/>
                <w:shd w:val="clear" w:color="auto" w:fill="FFFFFF"/>
                <w:lang w:val="uk-UA"/>
              </w:rPr>
              <w:t>№</w:t>
            </w:r>
          </w:p>
        </w:tc>
        <w:tc>
          <w:tcPr>
            <w:tcW w:w="6636" w:type="dxa"/>
            <w:vAlign w:val="center"/>
          </w:tcPr>
          <w:p w:rsidR="00640747" w:rsidRPr="00DD0DF0" w:rsidRDefault="00640747" w:rsidP="005129D3">
            <w:pPr>
              <w:jc w:val="center"/>
              <w:rPr>
                <w:b/>
                <w:sz w:val="22"/>
                <w:shd w:val="clear" w:color="auto" w:fill="FFFFFF"/>
                <w:lang w:val="uk-UA"/>
              </w:rPr>
            </w:pPr>
            <w:r w:rsidRPr="00DD0DF0">
              <w:rPr>
                <w:b/>
                <w:sz w:val="22"/>
                <w:shd w:val="clear" w:color="auto" w:fill="FFFFFF"/>
                <w:lang w:val="uk-UA"/>
              </w:rPr>
              <w:t>Найменування</w:t>
            </w:r>
          </w:p>
        </w:tc>
        <w:tc>
          <w:tcPr>
            <w:tcW w:w="1910" w:type="dxa"/>
            <w:vAlign w:val="center"/>
          </w:tcPr>
          <w:p w:rsidR="00640747" w:rsidRPr="00DD0DF0" w:rsidRDefault="00640747" w:rsidP="005129D3">
            <w:pPr>
              <w:jc w:val="center"/>
              <w:rPr>
                <w:b/>
                <w:sz w:val="22"/>
                <w:shd w:val="clear" w:color="auto" w:fill="FFFFFF"/>
                <w:lang w:val="uk-UA"/>
              </w:rPr>
            </w:pPr>
            <w:r w:rsidRPr="00DD0DF0">
              <w:rPr>
                <w:b/>
                <w:sz w:val="22"/>
                <w:shd w:val="clear" w:color="auto" w:fill="FFFFFF"/>
                <w:lang w:val="uk-UA"/>
              </w:rPr>
              <w:t>Одиниця виміру</w:t>
            </w:r>
          </w:p>
        </w:tc>
        <w:tc>
          <w:tcPr>
            <w:tcW w:w="1448" w:type="dxa"/>
            <w:vAlign w:val="center"/>
          </w:tcPr>
          <w:p w:rsidR="00640747" w:rsidRPr="00DD0DF0" w:rsidRDefault="00640747" w:rsidP="005129D3">
            <w:pPr>
              <w:jc w:val="center"/>
              <w:rPr>
                <w:b/>
                <w:sz w:val="22"/>
                <w:shd w:val="clear" w:color="auto" w:fill="FFFFFF"/>
                <w:lang w:val="uk-UA"/>
              </w:rPr>
            </w:pPr>
            <w:r w:rsidRPr="00DD0DF0">
              <w:rPr>
                <w:b/>
                <w:sz w:val="22"/>
                <w:shd w:val="clear" w:color="auto" w:fill="FFFFFF"/>
                <w:lang w:val="uk-UA"/>
              </w:rPr>
              <w:t xml:space="preserve">Кількість </w:t>
            </w:r>
          </w:p>
        </w:tc>
      </w:tr>
      <w:tr w:rsidR="00640747" w:rsidRPr="00DD0DF0" w:rsidTr="005129D3">
        <w:trPr>
          <w:trHeight w:val="444"/>
        </w:trPr>
        <w:tc>
          <w:tcPr>
            <w:tcW w:w="447" w:type="dxa"/>
          </w:tcPr>
          <w:p w:rsidR="00640747" w:rsidRPr="00DD0DF0" w:rsidRDefault="00640747" w:rsidP="005129D3">
            <w:pPr>
              <w:jc w:val="center"/>
              <w:rPr>
                <w:sz w:val="22"/>
                <w:shd w:val="clear" w:color="auto" w:fill="FFFFFF"/>
                <w:lang w:val="uk-UA"/>
              </w:rPr>
            </w:pPr>
            <w:r w:rsidRPr="00DD0DF0">
              <w:rPr>
                <w:sz w:val="22"/>
                <w:shd w:val="clear" w:color="auto" w:fill="FFFFFF"/>
                <w:lang w:val="uk-UA"/>
              </w:rPr>
              <w:t>1</w:t>
            </w:r>
          </w:p>
        </w:tc>
        <w:tc>
          <w:tcPr>
            <w:tcW w:w="6636" w:type="dxa"/>
          </w:tcPr>
          <w:p w:rsidR="00640747" w:rsidRPr="00DD0DF0" w:rsidRDefault="00640747" w:rsidP="005129D3">
            <w:pPr>
              <w:jc w:val="both"/>
              <w:rPr>
                <w:sz w:val="22"/>
                <w:shd w:val="clear" w:color="auto" w:fill="FFFFFF"/>
                <w:lang w:val="uk-UA"/>
              </w:rPr>
            </w:pPr>
            <w:r w:rsidRPr="00DD0DF0">
              <w:rPr>
                <w:sz w:val="22"/>
                <w:shd w:val="clear" w:color="auto" w:fill="FFFFFF"/>
                <w:lang w:val="uk-UA"/>
              </w:rPr>
              <w:t>Оформлення довідок, виписок, заключення лікаря (допуск до роботи)</w:t>
            </w:r>
          </w:p>
        </w:tc>
        <w:tc>
          <w:tcPr>
            <w:tcW w:w="1910" w:type="dxa"/>
          </w:tcPr>
          <w:p w:rsidR="00640747" w:rsidRPr="00DD0DF0" w:rsidRDefault="00640747" w:rsidP="005129D3">
            <w:pPr>
              <w:jc w:val="center"/>
              <w:rPr>
                <w:sz w:val="22"/>
                <w:shd w:val="clear" w:color="auto" w:fill="FFFFFF"/>
                <w:lang w:val="uk-UA"/>
              </w:rPr>
            </w:pPr>
            <w:r w:rsidRPr="00DD0DF0">
              <w:rPr>
                <w:sz w:val="22"/>
                <w:shd w:val="clear" w:color="auto" w:fill="FFFFFF"/>
                <w:lang w:val="uk-UA"/>
              </w:rPr>
              <w:t xml:space="preserve">Послуга </w:t>
            </w:r>
          </w:p>
        </w:tc>
        <w:tc>
          <w:tcPr>
            <w:tcW w:w="1448" w:type="dxa"/>
          </w:tcPr>
          <w:p w:rsidR="00640747" w:rsidRPr="00DD0DF0" w:rsidRDefault="00640747" w:rsidP="005129D3">
            <w:pPr>
              <w:jc w:val="center"/>
              <w:rPr>
                <w:sz w:val="22"/>
                <w:shd w:val="clear" w:color="auto" w:fill="FFFFFF"/>
                <w:lang w:val="uk-UA"/>
              </w:rPr>
            </w:pPr>
            <w:r w:rsidRPr="00DD0DF0">
              <w:rPr>
                <w:sz w:val="22"/>
                <w:shd w:val="clear" w:color="auto" w:fill="FFFFFF"/>
                <w:lang w:val="uk-UA"/>
              </w:rPr>
              <w:t>1 370 осіб</w:t>
            </w:r>
          </w:p>
        </w:tc>
      </w:tr>
      <w:tr w:rsidR="00640747" w:rsidRPr="00DD0DF0" w:rsidTr="005129D3">
        <w:trPr>
          <w:trHeight w:val="444"/>
        </w:trPr>
        <w:tc>
          <w:tcPr>
            <w:tcW w:w="447" w:type="dxa"/>
          </w:tcPr>
          <w:p w:rsidR="00640747" w:rsidRPr="00DD0DF0" w:rsidRDefault="00640747" w:rsidP="005129D3">
            <w:pPr>
              <w:jc w:val="center"/>
              <w:rPr>
                <w:sz w:val="22"/>
                <w:shd w:val="clear" w:color="auto" w:fill="FFFFFF"/>
                <w:lang w:val="uk-UA"/>
              </w:rPr>
            </w:pPr>
            <w:r w:rsidRPr="00DD0DF0">
              <w:rPr>
                <w:sz w:val="22"/>
                <w:shd w:val="clear" w:color="auto" w:fill="FFFFFF"/>
                <w:lang w:val="uk-UA"/>
              </w:rPr>
              <w:t>2</w:t>
            </w:r>
          </w:p>
        </w:tc>
        <w:tc>
          <w:tcPr>
            <w:tcW w:w="6636" w:type="dxa"/>
          </w:tcPr>
          <w:p w:rsidR="00640747" w:rsidRPr="00DD0DF0" w:rsidRDefault="00640747" w:rsidP="005129D3">
            <w:pPr>
              <w:jc w:val="both"/>
              <w:rPr>
                <w:sz w:val="22"/>
                <w:shd w:val="clear" w:color="auto" w:fill="FFFFFF"/>
                <w:lang w:val="uk-UA"/>
              </w:rPr>
            </w:pPr>
            <w:r w:rsidRPr="00DD0DF0">
              <w:rPr>
                <w:sz w:val="22"/>
                <w:shd w:val="clear" w:color="auto" w:fill="FFFFFF"/>
                <w:lang w:val="uk-UA"/>
              </w:rPr>
              <w:t xml:space="preserve">Мікроскопія препаратів </w:t>
            </w:r>
            <w:proofErr w:type="spellStart"/>
            <w:r w:rsidRPr="00DD0DF0">
              <w:rPr>
                <w:sz w:val="22"/>
                <w:shd w:val="clear" w:color="auto" w:fill="FFFFFF"/>
                <w:lang w:val="uk-UA"/>
              </w:rPr>
              <w:t>нативного</w:t>
            </w:r>
            <w:proofErr w:type="spellEnd"/>
            <w:r w:rsidRPr="00DD0DF0">
              <w:rPr>
                <w:sz w:val="22"/>
                <w:shd w:val="clear" w:color="auto" w:fill="FFFFFF"/>
                <w:lang w:val="uk-UA"/>
              </w:rPr>
              <w:t xml:space="preserve"> матеріалу, забарвлення за Грамом</w:t>
            </w:r>
          </w:p>
        </w:tc>
        <w:tc>
          <w:tcPr>
            <w:tcW w:w="1910" w:type="dxa"/>
          </w:tcPr>
          <w:p w:rsidR="00640747" w:rsidRPr="00DD0DF0" w:rsidRDefault="00640747" w:rsidP="005129D3">
            <w:pPr>
              <w:jc w:val="center"/>
              <w:rPr>
                <w:b/>
                <w:sz w:val="22"/>
                <w:shd w:val="clear" w:color="auto" w:fill="FFFFFF"/>
                <w:lang w:val="uk-UA"/>
              </w:rPr>
            </w:pPr>
            <w:r w:rsidRPr="00DD0DF0">
              <w:rPr>
                <w:sz w:val="22"/>
                <w:shd w:val="clear" w:color="auto" w:fill="FFFFFF"/>
                <w:lang w:val="uk-UA"/>
              </w:rPr>
              <w:t xml:space="preserve">Послуга </w:t>
            </w:r>
          </w:p>
        </w:tc>
        <w:tc>
          <w:tcPr>
            <w:tcW w:w="1448" w:type="dxa"/>
          </w:tcPr>
          <w:p w:rsidR="00640747" w:rsidRPr="00DD0DF0" w:rsidRDefault="00640747" w:rsidP="005129D3">
            <w:pPr>
              <w:jc w:val="center"/>
              <w:rPr>
                <w:b/>
                <w:sz w:val="22"/>
                <w:shd w:val="clear" w:color="auto" w:fill="FFFFFF"/>
                <w:lang w:val="uk-UA"/>
              </w:rPr>
            </w:pPr>
            <w:r w:rsidRPr="00DD0DF0">
              <w:rPr>
                <w:sz w:val="22"/>
                <w:shd w:val="clear" w:color="auto" w:fill="FFFFFF"/>
                <w:lang w:val="uk-UA"/>
              </w:rPr>
              <w:t>1 370 осіб</w:t>
            </w:r>
          </w:p>
        </w:tc>
      </w:tr>
      <w:tr w:rsidR="00640747" w:rsidRPr="00DD0DF0" w:rsidTr="005129D3">
        <w:trPr>
          <w:trHeight w:val="458"/>
        </w:trPr>
        <w:tc>
          <w:tcPr>
            <w:tcW w:w="447" w:type="dxa"/>
          </w:tcPr>
          <w:p w:rsidR="00640747" w:rsidRPr="00DD0DF0" w:rsidRDefault="00640747" w:rsidP="005129D3">
            <w:pPr>
              <w:jc w:val="center"/>
              <w:rPr>
                <w:sz w:val="22"/>
                <w:shd w:val="clear" w:color="auto" w:fill="FFFFFF"/>
                <w:lang w:val="uk-UA"/>
              </w:rPr>
            </w:pPr>
            <w:r w:rsidRPr="00DD0DF0">
              <w:rPr>
                <w:sz w:val="22"/>
                <w:shd w:val="clear" w:color="auto" w:fill="FFFFFF"/>
                <w:lang w:val="uk-UA"/>
              </w:rPr>
              <w:t>3</w:t>
            </w:r>
          </w:p>
        </w:tc>
        <w:tc>
          <w:tcPr>
            <w:tcW w:w="6636" w:type="dxa"/>
          </w:tcPr>
          <w:p w:rsidR="00640747" w:rsidRPr="00DD0DF0" w:rsidRDefault="00640747" w:rsidP="005129D3">
            <w:pPr>
              <w:jc w:val="both"/>
              <w:rPr>
                <w:sz w:val="22"/>
                <w:shd w:val="clear" w:color="auto" w:fill="FFFFFF"/>
                <w:lang w:val="uk-UA"/>
              </w:rPr>
            </w:pPr>
            <w:proofErr w:type="spellStart"/>
            <w:r w:rsidRPr="00DD0DF0">
              <w:rPr>
                <w:sz w:val="22"/>
                <w:shd w:val="clear" w:color="auto" w:fill="FFFFFF"/>
                <w:lang w:val="uk-UA"/>
              </w:rPr>
              <w:t>Мікрореакція</w:t>
            </w:r>
            <w:proofErr w:type="spellEnd"/>
            <w:r w:rsidRPr="00DD0DF0">
              <w:rPr>
                <w:sz w:val="22"/>
                <w:shd w:val="clear" w:color="auto" w:fill="FFFFFF"/>
                <w:lang w:val="uk-UA"/>
              </w:rPr>
              <w:t xml:space="preserve"> преципітації з </w:t>
            </w:r>
            <w:proofErr w:type="spellStart"/>
            <w:r w:rsidRPr="00DD0DF0">
              <w:rPr>
                <w:sz w:val="22"/>
                <w:shd w:val="clear" w:color="auto" w:fill="FFFFFF"/>
                <w:lang w:val="uk-UA"/>
              </w:rPr>
              <w:t>кардіоліпіновим</w:t>
            </w:r>
            <w:proofErr w:type="spellEnd"/>
            <w:r w:rsidRPr="00DD0DF0">
              <w:rPr>
                <w:sz w:val="22"/>
                <w:shd w:val="clear" w:color="auto" w:fill="FFFFFF"/>
                <w:lang w:val="uk-UA"/>
              </w:rPr>
              <w:t xml:space="preserve"> антигеном, з </w:t>
            </w:r>
            <w:proofErr w:type="spellStart"/>
            <w:r w:rsidRPr="00DD0DF0">
              <w:rPr>
                <w:sz w:val="22"/>
                <w:shd w:val="clear" w:color="auto" w:fill="FFFFFF"/>
                <w:lang w:val="uk-UA"/>
              </w:rPr>
              <w:t>інактивованою</w:t>
            </w:r>
            <w:proofErr w:type="spellEnd"/>
            <w:r w:rsidRPr="00DD0DF0">
              <w:rPr>
                <w:sz w:val="22"/>
                <w:shd w:val="clear" w:color="auto" w:fill="FFFFFF"/>
                <w:lang w:val="uk-UA"/>
              </w:rPr>
              <w:t xml:space="preserve"> сироваткою або плазмою крові, кількісна методика ІХГ </w:t>
            </w:r>
          </w:p>
        </w:tc>
        <w:tc>
          <w:tcPr>
            <w:tcW w:w="1910" w:type="dxa"/>
          </w:tcPr>
          <w:p w:rsidR="00640747" w:rsidRPr="00DD0DF0" w:rsidRDefault="00640747" w:rsidP="005129D3">
            <w:pPr>
              <w:jc w:val="center"/>
              <w:rPr>
                <w:b/>
                <w:sz w:val="22"/>
                <w:shd w:val="clear" w:color="auto" w:fill="FFFFFF"/>
                <w:lang w:val="uk-UA"/>
              </w:rPr>
            </w:pPr>
            <w:r w:rsidRPr="00DD0DF0">
              <w:rPr>
                <w:sz w:val="22"/>
                <w:shd w:val="clear" w:color="auto" w:fill="FFFFFF"/>
                <w:lang w:val="uk-UA"/>
              </w:rPr>
              <w:t xml:space="preserve">Послуга </w:t>
            </w:r>
          </w:p>
        </w:tc>
        <w:tc>
          <w:tcPr>
            <w:tcW w:w="1448" w:type="dxa"/>
          </w:tcPr>
          <w:p w:rsidR="00640747" w:rsidRPr="00DD0DF0" w:rsidRDefault="00640747" w:rsidP="005129D3">
            <w:pPr>
              <w:jc w:val="center"/>
              <w:rPr>
                <w:b/>
                <w:sz w:val="22"/>
                <w:shd w:val="clear" w:color="auto" w:fill="FFFFFF"/>
                <w:lang w:val="uk-UA"/>
              </w:rPr>
            </w:pPr>
            <w:r w:rsidRPr="00DD0DF0">
              <w:rPr>
                <w:sz w:val="22"/>
                <w:shd w:val="clear" w:color="auto" w:fill="FFFFFF"/>
                <w:lang w:val="uk-UA"/>
              </w:rPr>
              <w:t>1 370 осіб</w:t>
            </w:r>
          </w:p>
        </w:tc>
      </w:tr>
      <w:tr w:rsidR="00640747" w:rsidRPr="00DD0DF0" w:rsidTr="005129D3">
        <w:trPr>
          <w:trHeight w:val="215"/>
        </w:trPr>
        <w:tc>
          <w:tcPr>
            <w:tcW w:w="447" w:type="dxa"/>
          </w:tcPr>
          <w:p w:rsidR="00640747" w:rsidRPr="00DD0DF0" w:rsidRDefault="00640747" w:rsidP="005129D3">
            <w:pPr>
              <w:jc w:val="center"/>
              <w:rPr>
                <w:sz w:val="22"/>
                <w:shd w:val="clear" w:color="auto" w:fill="FFFFFF"/>
                <w:lang w:val="uk-UA"/>
              </w:rPr>
            </w:pPr>
            <w:r w:rsidRPr="00DD0DF0">
              <w:rPr>
                <w:sz w:val="22"/>
                <w:shd w:val="clear" w:color="auto" w:fill="FFFFFF"/>
                <w:lang w:val="uk-UA"/>
              </w:rPr>
              <w:t>4</w:t>
            </w:r>
          </w:p>
        </w:tc>
        <w:tc>
          <w:tcPr>
            <w:tcW w:w="6636" w:type="dxa"/>
          </w:tcPr>
          <w:p w:rsidR="00640747" w:rsidRPr="00DD0DF0" w:rsidRDefault="00640747" w:rsidP="005129D3">
            <w:pPr>
              <w:jc w:val="both"/>
              <w:rPr>
                <w:sz w:val="22"/>
                <w:shd w:val="clear" w:color="auto" w:fill="FFFFFF"/>
                <w:lang w:val="uk-UA"/>
              </w:rPr>
            </w:pPr>
            <w:r w:rsidRPr="00DD0DF0">
              <w:rPr>
                <w:sz w:val="22"/>
                <w:shd w:val="clear" w:color="auto" w:fill="FFFFFF"/>
                <w:lang w:val="uk-UA"/>
              </w:rPr>
              <w:t xml:space="preserve">Ідентифікація </w:t>
            </w:r>
            <w:proofErr w:type="spellStart"/>
            <w:r w:rsidRPr="00DD0DF0">
              <w:rPr>
                <w:sz w:val="22"/>
                <w:shd w:val="clear" w:color="auto" w:fill="FFFFFF"/>
                <w:lang w:val="uk-UA"/>
              </w:rPr>
              <w:t>ентеробактерій</w:t>
            </w:r>
            <w:proofErr w:type="spellEnd"/>
            <w:r w:rsidRPr="00DD0DF0">
              <w:rPr>
                <w:sz w:val="22"/>
                <w:shd w:val="clear" w:color="auto" w:fill="FFFFFF"/>
                <w:lang w:val="uk-UA"/>
              </w:rPr>
              <w:t xml:space="preserve"> за </w:t>
            </w:r>
            <w:proofErr w:type="spellStart"/>
            <w:r w:rsidRPr="00DD0DF0">
              <w:rPr>
                <w:sz w:val="22"/>
                <w:shd w:val="clear" w:color="auto" w:fill="FFFFFF"/>
                <w:lang w:val="uk-UA"/>
              </w:rPr>
              <w:t>культуральними</w:t>
            </w:r>
            <w:proofErr w:type="spellEnd"/>
            <w:r w:rsidRPr="00DD0DF0">
              <w:rPr>
                <w:sz w:val="22"/>
                <w:shd w:val="clear" w:color="auto" w:fill="FFFFFF"/>
                <w:lang w:val="uk-UA"/>
              </w:rPr>
              <w:t xml:space="preserve"> властивостями</w:t>
            </w:r>
          </w:p>
        </w:tc>
        <w:tc>
          <w:tcPr>
            <w:tcW w:w="1910" w:type="dxa"/>
          </w:tcPr>
          <w:p w:rsidR="00640747" w:rsidRPr="00DD0DF0" w:rsidRDefault="00640747" w:rsidP="005129D3">
            <w:pPr>
              <w:jc w:val="center"/>
              <w:rPr>
                <w:b/>
                <w:sz w:val="22"/>
                <w:shd w:val="clear" w:color="auto" w:fill="FFFFFF"/>
                <w:lang w:val="uk-UA"/>
              </w:rPr>
            </w:pPr>
            <w:r w:rsidRPr="00DD0DF0">
              <w:rPr>
                <w:sz w:val="22"/>
                <w:shd w:val="clear" w:color="auto" w:fill="FFFFFF"/>
                <w:lang w:val="uk-UA"/>
              </w:rPr>
              <w:t xml:space="preserve">Послуга </w:t>
            </w:r>
          </w:p>
        </w:tc>
        <w:tc>
          <w:tcPr>
            <w:tcW w:w="1448" w:type="dxa"/>
          </w:tcPr>
          <w:p w:rsidR="00640747" w:rsidRPr="00DD0DF0" w:rsidRDefault="00640747" w:rsidP="005129D3">
            <w:pPr>
              <w:jc w:val="center"/>
              <w:rPr>
                <w:b/>
                <w:sz w:val="22"/>
                <w:shd w:val="clear" w:color="auto" w:fill="FFFFFF"/>
                <w:lang w:val="uk-UA"/>
              </w:rPr>
            </w:pPr>
            <w:r w:rsidRPr="00DD0DF0">
              <w:rPr>
                <w:sz w:val="22"/>
                <w:shd w:val="clear" w:color="auto" w:fill="FFFFFF"/>
                <w:lang w:val="uk-UA"/>
              </w:rPr>
              <w:t>1 370 осіб</w:t>
            </w:r>
          </w:p>
        </w:tc>
      </w:tr>
    </w:tbl>
    <w:p w:rsidR="00640747" w:rsidRPr="00DD0DF0" w:rsidRDefault="00640747" w:rsidP="00640747">
      <w:pPr>
        <w:jc w:val="both"/>
        <w:rPr>
          <w:i/>
          <w:sz w:val="20"/>
          <w:szCs w:val="20"/>
          <w:lang w:val="uk-UA"/>
        </w:rPr>
      </w:pPr>
    </w:p>
    <w:p w:rsidR="00640747" w:rsidRPr="00DD0DF0" w:rsidRDefault="00640747" w:rsidP="00640747">
      <w:pPr>
        <w:shd w:val="clear" w:color="auto" w:fill="FFFFFF"/>
        <w:ind w:firstLine="709"/>
        <w:jc w:val="both"/>
        <w:rPr>
          <w:sz w:val="22"/>
          <w:szCs w:val="22"/>
          <w:lang w:val="uk-UA"/>
        </w:rPr>
      </w:pPr>
      <w:r w:rsidRPr="00DD0DF0">
        <w:rPr>
          <w:sz w:val="22"/>
          <w:szCs w:val="22"/>
          <w:lang w:val="uk-UA"/>
        </w:rPr>
        <w:t>Проведення профілактичного медичного обстеження працівників закладів дошкільної освіти, початкових шкіл та СНВК «Мрія» здійснюється відповідно до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привести до посилення інфекційних хвороби», Санітарного регламенту для дошкільних навчальних закладів, затвердженого наказом Міністерства охорони здоров'я України від 24.03.2016 № 234.</w:t>
      </w:r>
    </w:p>
    <w:p w:rsidR="00640747" w:rsidRPr="00DD0DF0" w:rsidRDefault="00640747" w:rsidP="00640747">
      <w:pPr>
        <w:shd w:val="clear" w:color="auto" w:fill="FFFFFF"/>
        <w:ind w:firstLine="709"/>
        <w:jc w:val="both"/>
        <w:rPr>
          <w:sz w:val="22"/>
          <w:szCs w:val="22"/>
          <w:lang w:val="uk-UA"/>
        </w:rPr>
      </w:pPr>
      <w:r w:rsidRPr="00DD0DF0">
        <w:rPr>
          <w:sz w:val="22"/>
          <w:szCs w:val="22"/>
          <w:lang w:val="uk-UA"/>
        </w:rPr>
        <w:t>Виконавець надає послуги щодо проведення періодичного обов’язкового профілактичного медичного огляду працівників закладів освіти Деснянському району міста Києва належної якості з дотриманням норм законодавства, які регламентують діяльність в даній сфері. Перелік закладів охорони здоров'я, які мають право проводити обов'язкові профілактичні медичні огляди, затверджується відповідним наказом Міністерства охорони здоров'я України, структурних підрозділів з питань охорони здоров'я  Київської державної адміністрації. Учасник повинен бути включеним до переліку закладів охорони здоров'я, які мають право проводити обов'язкові профілактичні медичні огляди, що зазначений вище.</w:t>
      </w:r>
    </w:p>
    <w:p w:rsidR="00640747" w:rsidRPr="00DD0DF0" w:rsidRDefault="00640747" w:rsidP="00640747">
      <w:pPr>
        <w:shd w:val="clear" w:color="auto" w:fill="FFFFFF"/>
        <w:ind w:firstLine="709"/>
        <w:jc w:val="both"/>
        <w:rPr>
          <w:sz w:val="22"/>
          <w:szCs w:val="22"/>
          <w:lang w:val="uk-UA"/>
        </w:rPr>
      </w:pPr>
      <w:r w:rsidRPr="00DD0DF0">
        <w:rPr>
          <w:sz w:val="22"/>
          <w:szCs w:val="22"/>
          <w:lang w:val="uk-UA"/>
        </w:rPr>
        <w:t xml:space="preserve">При наданні послуг використовувати дозволені до застосування на території України препарати (засоби) та витратні матеріали, придбані за рахунок Виконавця. </w:t>
      </w:r>
    </w:p>
    <w:p w:rsidR="00640747" w:rsidRPr="00DD0DF0" w:rsidRDefault="00640747" w:rsidP="00640747">
      <w:pPr>
        <w:shd w:val="clear" w:color="auto" w:fill="FFFFFF"/>
        <w:ind w:firstLine="709"/>
        <w:jc w:val="both"/>
        <w:rPr>
          <w:sz w:val="22"/>
          <w:szCs w:val="22"/>
          <w:lang w:val="uk-UA"/>
        </w:rPr>
      </w:pPr>
      <w:r w:rsidRPr="00DD0DF0">
        <w:rPr>
          <w:sz w:val="22"/>
          <w:szCs w:val="22"/>
          <w:lang w:val="uk-UA"/>
        </w:rPr>
        <w:t>Проведення медичного огляду працівників включає в себе огляд спеціалістами, лабораторні та функціональні дослідження з оформленням відповідних необхідних документів. Після закінчення медогляду (у разі відсутності протипоказань для зайняття відповідним видом діяльності) заклад охорони здоров'я видає працівнику документ за формою № 1-ОМК «Особиста медична книжка» (далі – форма № 1-ОМК), затверджену наказом Міністерства охорони здоров’я України від 21.02.2013 року № 150, передбачений за згідно наказу Міністерства охорони здоров’я України від 23.07.2002 № 280.</w:t>
      </w:r>
    </w:p>
    <w:p w:rsidR="00640747" w:rsidRPr="00DD0DF0" w:rsidRDefault="00640747" w:rsidP="00640747">
      <w:pPr>
        <w:shd w:val="clear" w:color="auto" w:fill="FFFFFF"/>
        <w:ind w:firstLine="709"/>
        <w:jc w:val="both"/>
        <w:rPr>
          <w:sz w:val="22"/>
          <w:szCs w:val="22"/>
          <w:lang w:val="uk-UA"/>
        </w:rPr>
      </w:pPr>
      <w:r w:rsidRPr="00DD0DF0">
        <w:rPr>
          <w:sz w:val="22"/>
          <w:szCs w:val="22"/>
          <w:lang w:val="uk-UA"/>
        </w:rPr>
        <w:t xml:space="preserve">На підставі результатів обстеження лікар-спеціаліст робить висновок щодо можливості допущення працівника закладу освіти до роботи. </w:t>
      </w:r>
    </w:p>
    <w:p w:rsidR="00640747" w:rsidRPr="00DD0DF0" w:rsidRDefault="00640747" w:rsidP="00640747">
      <w:pPr>
        <w:shd w:val="clear" w:color="auto" w:fill="FFFFFF"/>
        <w:ind w:firstLine="709"/>
        <w:jc w:val="both"/>
        <w:rPr>
          <w:sz w:val="22"/>
          <w:szCs w:val="22"/>
          <w:lang w:val="uk-UA"/>
        </w:rPr>
      </w:pPr>
      <w:r w:rsidRPr="00DD0DF0">
        <w:rPr>
          <w:sz w:val="22"/>
          <w:szCs w:val="22"/>
          <w:lang w:val="uk-UA"/>
        </w:rPr>
        <w:t>Послуги надаються на території медичного закладу протягом 2024 року впродовж 2-х робочих днів з дня скерування Замовником працівників закладів освіти на медогляд.</w:t>
      </w:r>
    </w:p>
    <w:p w:rsidR="00640747" w:rsidRPr="00DD0DF0" w:rsidRDefault="00640747" w:rsidP="00640747">
      <w:pPr>
        <w:shd w:val="clear" w:color="auto" w:fill="FFFFFF"/>
        <w:ind w:firstLine="709"/>
        <w:jc w:val="both"/>
        <w:rPr>
          <w:sz w:val="22"/>
          <w:szCs w:val="22"/>
          <w:lang w:val="uk-UA"/>
        </w:rPr>
      </w:pPr>
      <w:r w:rsidRPr="00DD0DF0">
        <w:rPr>
          <w:sz w:val="22"/>
          <w:szCs w:val="22"/>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відповідну ліцензію(ї) Міністерства охорони здоров’я на медичну практику та акредитаційний сертифікат, який надає право здійснювати виконання відповідних видів діяльності.</w:t>
      </w:r>
    </w:p>
    <w:p w:rsidR="00640747" w:rsidRPr="00DD0DF0" w:rsidRDefault="00640747" w:rsidP="00640747">
      <w:pPr>
        <w:jc w:val="both"/>
        <w:rPr>
          <w:i/>
          <w:sz w:val="20"/>
          <w:szCs w:val="20"/>
          <w:lang w:val="uk-UA"/>
        </w:rPr>
      </w:pPr>
    </w:p>
    <w:p w:rsidR="00640747" w:rsidRPr="00DD0DF0" w:rsidRDefault="00640747" w:rsidP="00640747">
      <w:pPr>
        <w:ind w:firstLine="284"/>
        <w:jc w:val="both"/>
        <w:rPr>
          <w:i/>
          <w:sz w:val="20"/>
          <w:szCs w:val="20"/>
          <w:lang w:val="uk-UA"/>
        </w:rPr>
      </w:pPr>
      <w:r w:rsidRPr="00DD0DF0">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640747" w:rsidRDefault="00640747">
      <w:pPr>
        <w:rPr>
          <w:lang w:val="uk-UA"/>
        </w:rPr>
      </w:pPr>
      <w:bookmarkStart w:id="0" w:name="_GoBack"/>
      <w:bookmarkEnd w:id="0"/>
    </w:p>
    <w:sectPr w:rsidR="00AC1413" w:rsidRPr="00640747"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47"/>
    <w:rsid w:val="00640747"/>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AC230-D90D-4125-AC0F-1137949F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74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640747"/>
    <w:rPr>
      <w:shd w:val="clear" w:color="auto" w:fill="FFFFFF"/>
    </w:rPr>
  </w:style>
  <w:style w:type="paragraph" w:customStyle="1" w:styleId="20">
    <w:name w:val="Заголовок №2"/>
    <w:basedOn w:val="a"/>
    <w:link w:val="2"/>
    <w:rsid w:val="00640747"/>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3">
    <w:name w:val="Table Grid"/>
    <w:basedOn w:val="a1"/>
    <w:uiPriority w:val="39"/>
    <w:rsid w:val="00640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2024-02-08T09:28:00Z</dcterms:created>
  <dcterms:modified xsi:type="dcterms:W3CDTF">2024-02-08T09:28:00Z</dcterms:modified>
</cp:coreProperties>
</file>