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9C" w:rsidRPr="004303A3" w:rsidRDefault="005B519C" w:rsidP="005B519C">
      <w:pPr>
        <w:spacing w:after="0" w:line="240" w:lineRule="auto"/>
        <w:jc w:val="both"/>
        <w:rPr>
          <w:rFonts w:ascii="Times New Roman" w:hAnsi="Times New Roman" w:cs="Times New Roman"/>
          <w:sz w:val="10"/>
          <w:szCs w:val="26"/>
        </w:rPr>
      </w:pPr>
    </w:p>
    <w:p w:rsidR="005B519C" w:rsidRPr="00D72585" w:rsidRDefault="005B519C" w:rsidP="005B5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585">
        <w:rPr>
          <w:rFonts w:ascii="Times New Roman" w:hAnsi="Times New Roman" w:cs="Times New Roman"/>
          <w:b/>
          <w:sz w:val="24"/>
          <w:szCs w:val="24"/>
        </w:rPr>
        <w:t>ІНФОРМАЦІЯ ПРО НЕОБХІДНІ ТЕХНІЧНІ, ЯКІСНІ ТА КІЛЬКІСНІ ХАРАКТЕРИСТИКИ (ТЕХНІЧНІ ВИМОГИ) ПРОДУКТІВ ХАРЧУВАННЯ</w:t>
      </w:r>
    </w:p>
    <w:p w:rsidR="005B519C" w:rsidRPr="00D56D04" w:rsidRDefault="005B519C" w:rsidP="00197588">
      <w:pPr>
        <w:tabs>
          <w:tab w:val="left" w:pos="336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6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1417"/>
        <w:gridCol w:w="1559"/>
        <w:gridCol w:w="1277"/>
        <w:gridCol w:w="7228"/>
        <w:gridCol w:w="1134"/>
        <w:gridCol w:w="1134"/>
        <w:gridCol w:w="1416"/>
      </w:tblGrid>
      <w:tr w:rsidR="0036077C" w:rsidRPr="004303A3" w:rsidTr="00B13023">
        <w:trPr>
          <w:cantSplit/>
          <w:trHeight w:val="58"/>
          <w:tblHeader/>
        </w:trPr>
        <w:tc>
          <w:tcPr>
            <w:tcW w:w="455" w:type="dxa"/>
            <w:vAlign w:val="center"/>
          </w:tcPr>
          <w:p w:rsidR="0036077C" w:rsidRPr="004303A3" w:rsidRDefault="0036077C" w:rsidP="005B519C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/>
                <w:b/>
              </w:rPr>
            </w:pPr>
            <w:r w:rsidRPr="004303A3"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1417" w:type="dxa"/>
            <w:vAlign w:val="center"/>
          </w:tcPr>
          <w:p w:rsidR="0036077C" w:rsidRPr="004303A3" w:rsidRDefault="0036077C" w:rsidP="005B519C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/>
                <w:b/>
              </w:rPr>
            </w:pPr>
            <w:r w:rsidRPr="004303A3">
              <w:rPr>
                <w:rFonts w:ascii="Times New Roman" w:hAnsi="Times New Roman"/>
                <w:b/>
              </w:rPr>
              <w:t xml:space="preserve">Код </w:t>
            </w:r>
            <w:proofErr w:type="spellStart"/>
            <w:r w:rsidRPr="004303A3">
              <w:rPr>
                <w:rFonts w:ascii="Times New Roman" w:hAnsi="Times New Roman"/>
                <w:b/>
              </w:rPr>
              <w:t>ДК</w:t>
            </w:r>
            <w:proofErr w:type="spellEnd"/>
            <w:r w:rsidRPr="004303A3">
              <w:t xml:space="preserve"> </w:t>
            </w:r>
            <w:r w:rsidRPr="004303A3">
              <w:rPr>
                <w:rFonts w:ascii="Times New Roman" w:hAnsi="Times New Roman"/>
                <w:b/>
              </w:rPr>
              <w:t>021:2015</w:t>
            </w:r>
          </w:p>
        </w:tc>
        <w:tc>
          <w:tcPr>
            <w:tcW w:w="1559" w:type="dxa"/>
            <w:vAlign w:val="center"/>
          </w:tcPr>
          <w:p w:rsidR="0036077C" w:rsidRPr="004303A3" w:rsidRDefault="0036077C" w:rsidP="005B519C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/>
                <w:b/>
              </w:rPr>
            </w:pPr>
            <w:r w:rsidRPr="004303A3">
              <w:rPr>
                <w:rFonts w:ascii="Times New Roman" w:hAnsi="Times New Roman"/>
                <w:b/>
              </w:rPr>
              <w:t>Найменування</w:t>
            </w:r>
          </w:p>
        </w:tc>
        <w:tc>
          <w:tcPr>
            <w:tcW w:w="1277" w:type="dxa"/>
            <w:vAlign w:val="center"/>
          </w:tcPr>
          <w:p w:rsidR="0036077C" w:rsidRPr="004303A3" w:rsidRDefault="0036077C" w:rsidP="007A0649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b/>
                <w:sz w:val="20"/>
              </w:rPr>
            </w:pPr>
            <w:r w:rsidRPr="004303A3">
              <w:rPr>
                <w:rFonts w:ascii="Times New Roman" w:hAnsi="Times New Roman"/>
                <w:b/>
                <w:sz w:val="20"/>
              </w:rPr>
              <w:t>Відповідність стандартам</w:t>
            </w:r>
          </w:p>
        </w:tc>
        <w:tc>
          <w:tcPr>
            <w:tcW w:w="7228" w:type="dxa"/>
            <w:vAlign w:val="center"/>
          </w:tcPr>
          <w:p w:rsidR="0036077C" w:rsidRPr="004303A3" w:rsidRDefault="0036077C" w:rsidP="007A0649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/>
                <w:b/>
                <w:szCs w:val="20"/>
              </w:rPr>
            </w:pPr>
            <w:r w:rsidRPr="004303A3">
              <w:rPr>
                <w:rFonts w:ascii="Times New Roman" w:hAnsi="Times New Roman"/>
                <w:b/>
                <w:szCs w:val="20"/>
              </w:rPr>
              <w:t>Вимоги до якості продукту</w:t>
            </w:r>
          </w:p>
        </w:tc>
        <w:tc>
          <w:tcPr>
            <w:tcW w:w="1134" w:type="dxa"/>
            <w:vAlign w:val="center"/>
          </w:tcPr>
          <w:p w:rsidR="0036077C" w:rsidRPr="004303A3" w:rsidRDefault="0036077C" w:rsidP="005B519C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highlight w:val="lightGray"/>
              </w:rPr>
            </w:pPr>
            <w:r w:rsidRPr="004303A3">
              <w:rPr>
                <w:rFonts w:ascii="Times New Roman" w:hAnsi="Times New Roman"/>
                <w:b/>
                <w:bCs/>
              </w:rPr>
              <w:t>Одиниця виміру</w:t>
            </w:r>
          </w:p>
        </w:tc>
        <w:tc>
          <w:tcPr>
            <w:tcW w:w="1134" w:type="dxa"/>
            <w:vAlign w:val="center"/>
          </w:tcPr>
          <w:p w:rsidR="0036077C" w:rsidRPr="004303A3" w:rsidRDefault="0036077C" w:rsidP="004303A3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b/>
                <w:bCs/>
              </w:rPr>
            </w:pPr>
            <w:r w:rsidRPr="004303A3">
              <w:rPr>
                <w:rFonts w:ascii="Times New Roman" w:hAnsi="Times New Roman"/>
                <w:b/>
                <w:bCs/>
              </w:rPr>
              <w:t>Кількість, од.</w:t>
            </w:r>
          </w:p>
        </w:tc>
        <w:tc>
          <w:tcPr>
            <w:tcW w:w="1416" w:type="dxa"/>
            <w:vAlign w:val="center"/>
          </w:tcPr>
          <w:p w:rsidR="0036077C" w:rsidRPr="004303A3" w:rsidRDefault="0036077C" w:rsidP="0036077C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b/>
                <w:bCs/>
              </w:rPr>
            </w:pPr>
            <w:r w:rsidRPr="004303A3">
              <w:rPr>
                <w:rFonts w:ascii="Times New Roman" w:hAnsi="Times New Roman"/>
                <w:b/>
                <w:bCs/>
              </w:rPr>
              <w:t>Орієнтовний графік поставок</w:t>
            </w:r>
          </w:p>
        </w:tc>
      </w:tr>
      <w:tr w:rsidR="00B13023" w:rsidRPr="004303A3" w:rsidTr="00B13023">
        <w:trPr>
          <w:cantSplit/>
        </w:trPr>
        <w:tc>
          <w:tcPr>
            <w:tcW w:w="455" w:type="dxa"/>
            <w:vAlign w:val="center"/>
          </w:tcPr>
          <w:p w:rsidR="00B13023" w:rsidRPr="004303A3" w:rsidRDefault="00B13023" w:rsidP="00B13023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/>
                <w:color w:val="000000"/>
              </w:rPr>
            </w:pPr>
            <w:r w:rsidRPr="004303A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417" w:type="dxa"/>
            <w:vMerge w:val="restart"/>
            <w:vAlign w:val="center"/>
          </w:tcPr>
          <w:p w:rsidR="00B13023" w:rsidRPr="004303A3" w:rsidRDefault="00B13023" w:rsidP="00B13023">
            <w:pPr>
              <w:spacing w:after="0" w:line="240" w:lineRule="auto"/>
              <w:ind w:left="-84" w:right="-108"/>
              <w:rPr>
                <w:rFonts w:ascii="Times New Roman" w:hAnsi="Times New Roman"/>
                <w:color w:val="000000"/>
              </w:rPr>
            </w:pPr>
            <w:r w:rsidRPr="004303A3">
              <w:rPr>
                <w:rFonts w:ascii="Times New Roman" w:hAnsi="Times New Roman"/>
                <w:color w:val="000000"/>
              </w:rPr>
              <w:t>15330000-0 Оброблені фрукти та овочі</w:t>
            </w:r>
          </w:p>
        </w:tc>
        <w:tc>
          <w:tcPr>
            <w:tcW w:w="1559" w:type="dxa"/>
            <w:vAlign w:val="center"/>
          </w:tcPr>
          <w:p w:rsidR="00B13023" w:rsidRPr="004303A3" w:rsidRDefault="00B13023" w:rsidP="00B13023">
            <w:pPr>
              <w:spacing w:after="0" w:line="240" w:lineRule="auto"/>
              <w:ind w:left="-84" w:right="-108"/>
              <w:rPr>
                <w:rFonts w:ascii="Times New Roman" w:hAnsi="Times New Roman"/>
                <w:color w:val="000000"/>
              </w:rPr>
            </w:pPr>
            <w:r w:rsidRPr="004303A3">
              <w:rPr>
                <w:rFonts w:ascii="Times New Roman" w:hAnsi="Times New Roman"/>
                <w:color w:val="000000"/>
              </w:rPr>
              <w:t>Горошок консервований</w:t>
            </w:r>
          </w:p>
        </w:tc>
        <w:tc>
          <w:tcPr>
            <w:tcW w:w="1277" w:type="dxa"/>
            <w:vAlign w:val="center"/>
          </w:tcPr>
          <w:p w:rsidR="00B13023" w:rsidRPr="004303A3" w:rsidRDefault="00B13023" w:rsidP="00B13023">
            <w:pPr>
              <w:spacing w:after="0" w:line="240" w:lineRule="auto"/>
              <w:ind w:left="-104" w:right="-106"/>
              <w:jc w:val="center"/>
              <w:rPr>
                <w:rFonts w:ascii="Times New Roman" w:hAnsi="Times New Roman"/>
              </w:rPr>
            </w:pPr>
            <w:r w:rsidRPr="004303A3">
              <w:rPr>
                <w:rFonts w:ascii="Times New Roman" w:hAnsi="Times New Roman"/>
              </w:rPr>
              <w:t>ДСТУ 7165:2010</w:t>
            </w:r>
          </w:p>
        </w:tc>
        <w:tc>
          <w:tcPr>
            <w:tcW w:w="7228" w:type="dxa"/>
            <w:vAlign w:val="center"/>
          </w:tcPr>
          <w:p w:rsidR="00B13023" w:rsidRPr="00B13023" w:rsidRDefault="00B13023" w:rsidP="00B13023">
            <w:pPr>
              <w:pStyle w:val="Default"/>
              <w:ind w:left="-84"/>
              <w:jc w:val="both"/>
              <w:rPr>
                <w:bCs/>
                <w:sz w:val="20"/>
                <w:szCs w:val="20"/>
                <w:lang w:val="uk-UA"/>
              </w:rPr>
            </w:pPr>
            <w:r w:rsidRPr="00B13023">
              <w:rPr>
                <w:bCs/>
                <w:sz w:val="20"/>
                <w:szCs w:val="20"/>
                <w:lang w:val="uk-UA"/>
              </w:rPr>
              <w:t xml:space="preserve">Горошок з молодих зерен гороху, залитий розчином. Горошок повинен бути цілим, чистим, рідина прозора. Смак та запах характерні зеленому горошку, без сторонніх </w:t>
            </w:r>
            <w:proofErr w:type="spellStart"/>
            <w:r w:rsidRPr="00B13023">
              <w:rPr>
                <w:bCs/>
                <w:sz w:val="20"/>
                <w:szCs w:val="20"/>
                <w:lang w:val="uk-UA"/>
              </w:rPr>
              <w:t>присмаків</w:t>
            </w:r>
            <w:proofErr w:type="spellEnd"/>
            <w:r w:rsidRPr="00B13023">
              <w:rPr>
                <w:bCs/>
                <w:sz w:val="20"/>
                <w:szCs w:val="20"/>
                <w:lang w:val="uk-UA"/>
              </w:rPr>
              <w:t xml:space="preserve"> та запахів. Консистенція м'яка, неоднорідна. Продукт може бути упакований зі спеціями, а також іншими відповідними інгредієнтами. Банки щільно закупорені. Кришки не здуті.</w:t>
            </w:r>
          </w:p>
          <w:p w:rsidR="00B13023" w:rsidRPr="00B13023" w:rsidRDefault="00B13023" w:rsidP="00B13023">
            <w:pPr>
              <w:pStyle w:val="Default"/>
              <w:ind w:left="-84"/>
              <w:jc w:val="both"/>
              <w:rPr>
                <w:bCs/>
                <w:sz w:val="20"/>
                <w:szCs w:val="20"/>
                <w:lang w:val="uk-UA"/>
              </w:rPr>
            </w:pPr>
            <w:r w:rsidRPr="00B13023">
              <w:rPr>
                <w:bCs/>
                <w:sz w:val="20"/>
                <w:szCs w:val="20"/>
                <w:lang w:val="uk-UA"/>
              </w:rPr>
              <w:t>З маркуванням на кожній упаковці. На кожній одиниці фасування повинна бути наступна інформація: назва продукту, назва та адреса підприємства-виробника, вага нетто, склад, дата виготовлення, термін придатності та умови зберігання, дані про харчову та енергетичну цінність.</w:t>
            </w:r>
          </w:p>
          <w:p w:rsidR="00B13023" w:rsidRPr="00B13023" w:rsidRDefault="00B13023" w:rsidP="00B13023">
            <w:pPr>
              <w:pStyle w:val="Default"/>
              <w:ind w:left="-84"/>
              <w:jc w:val="both"/>
              <w:rPr>
                <w:bCs/>
                <w:sz w:val="20"/>
                <w:szCs w:val="20"/>
                <w:lang w:val="uk-UA"/>
              </w:rPr>
            </w:pPr>
            <w:r w:rsidRPr="00B13023">
              <w:rPr>
                <w:bCs/>
                <w:sz w:val="20"/>
                <w:szCs w:val="20"/>
                <w:lang w:val="uk-UA"/>
              </w:rPr>
              <w:t>Фасування – від 0,4 кг. до 0,5 кг.</w:t>
            </w:r>
          </w:p>
          <w:p w:rsidR="00B13023" w:rsidRPr="00B13023" w:rsidRDefault="00B13023" w:rsidP="00B13023">
            <w:pPr>
              <w:pStyle w:val="Default"/>
              <w:ind w:left="-84"/>
              <w:jc w:val="both"/>
              <w:rPr>
                <w:bCs/>
                <w:sz w:val="20"/>
                <w:szCs w:val="20"/>
                <w:lang w:val="uk-UA"/>
              </w:rPr>
            </w:pPr>
            <w:r w:rsidRPr="00B13023">
              <w:rPr>
                <w:bCs/>
                <w:sz w:val="20"/>
                <w:szCs w:val="20"/>
                <w:lang w:val="uk-UA"/>
              </w:rPr>
              <w:t>На момент поставки термін придатності до споживання товару повинен складати не менше 80% від загального терміну придатності до споживання.</w:t>
            </w:r>
          </w:p>
          <w:p w:rsidR="00B13023" w:rsidRPr="00B13023" w:rsidRDefault="00B13023" w:rsidP="00B13023">
            <w:pPr>
              <w:pStyle w:val="Default"/>
              <w:ind w:left="-84"/>
              <w:jc w:val="both"/>
              <w:rPr>
                <w:bCs/>
                <w:sz w:val="20"/>
                <w:szCs w:val="20"/>
                <w:lang w:val="uk-UA"/>
              </w:rPr>
            </w:pPr>
            <w:r w:rsidRPr="00B13023">
              <w:rPr>
                <w:bCs/>
                <w:sz w:val="20"/>
                <w:szCs w:val="20"/>
                <w:lang w:val="uk-UA"/>
              </w:rPr>
              <w:t>Товар не повинен містити генетично модифіковані організми (ГМО), що обов’язково відображається на етикетці маркуванням «без ГМО».</w:t>
            </w:r>
          </w:p>
        </w:tc>
        <w:tc>
          <w:tcPr>
            <w:tcW w:w="1134" w:type="dxa"/>
            <w:vAlign w:val="center"/>
          </w:tcPr>
          <w:p w:rsidR="00B13023" w:rsidRPr="004303A3" w:rsidRDefault="00B13023" w:rsidP="00B1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3A3">
              <w:rPr>
                <w:rFonts w:ascii="Times New Roman" w:hAnsi="Times New Roman"/>
              </w:rPr>
              <w:t>кг</w:t>
            </w:r>
          </w:p>
        </w:tc>
        <w:tc>
          <w:tcPr>
            <w:tcW w:w="1134" w:type="dxa"/>
            <w:vAlign w:val="center"/>
          </w:tcPr>
          <w:p w:rsidR="00B13023" w:rsidRPr="004303A3" w:rsidRDefault="00B13023" w:rsidP="00B1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3A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6" w:type="dxa"/>
            <w:vAlign w:val="center"/>
          </w:tcPr>
          <w:p w:rsidR="00B13023" w:rsidRPr="004303A3" w:rsidRDefault="00B13023" w:rsidP="00B1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3023">
              <w:rPr>
                <w:rFonts w:ascii="Times New Roman" w:eastAsia="Times New Roman" w:hAnsi="Times New Roman" w:cs="Times New Roman"/>
              </w:rPr>
              <w:t>один раз на тиждень</w:t>
            </w:r>
          </w:p>
        </w:tc>
      </w:tr>
      <w:tr w:rsidR="00B13023" w:rsidRPr="004303A3" w:rsidTr="00B13023">
        <w:trPr>
          <w:cantSplit/>
        </w:trPr>
        <w:tc>
          <w:tcPr>
            <w:tcW w:w="455" w:type="dxa"/>
            <w:vAlign w:val="center"/>
          </w:tcPr>
          <w:p w:rsidR="00B13023" w:rsidRPr="004303A3" w:rsidRDefault="00B13023" w:rsidP="00B13023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/>
                <w:color w:val="000000"/>
              </w:rPr>
            </w:pPr>
            <w:r w:rsidRPr="004303A3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417" w:type="dxa"/>
            <w:vMerge/>
            <w:vAlign w:val="center"/>
          </w:tcPr>
          <w:p w:rsidR="00B13023" w:rsidRPr="004303A3" w:rsidRDefault="00B13023" w:rsidP="00B13023">
            <w:pPr>
              <w:spacing w:after="0" w:line="240" w:lineRule="auto"/>
              <w:ind w:left="-84"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13023" w:rsidRPr="004303A3" w:rsidRDefault="00B13023" w:rsidP="00B13023">
            <w:pPr>
              <w:spacing w:after="0" w:line="240" w:lineRule="auto"/>
              <w:ind w:left="-84" w:right="-108"/>
              <w:rPr>
                <w:rFonts w:ascii="Times New Roman" w:hAnsi="Times New Roman"/>
                <w:color w:val="000000"/>
              </w:rPr>
            </w:pPr>
            <w:r w:rsidRPr="004303A3">
              <w:rPr>
                <w:rFonts w:ascii="Times New Roman" w:hAnsi="Times New Roman"/>
                <w:color w:val="000000"/>
              </w:rPr>
              <w:t>Огірок солоний</w:t>
            </w:r>
          </w:p>
        </w:tc>
        <w:tc>
          <w:tcPr>
            <w:tcW w:w="1277" w:type="dxa"/>
            <w:vAlign w:val="center"/>
          </w:tcPr>
          <w:p w:rsidR="00B13023" w:rsidRPr="004303A3" w:rsidRDefault="00B13023" w:rsidP="00B13023">
            <w:pPr>
              <w:spacing w:after="0" w:line="240" w:lineRule="auto"/>
              <w:ind w:left="-104" w:right="-106"/>
              <w:jc w:val="center"/>
              <w:rPr>
                <w:rFonts w:ascii="Times New Roman" w:hAnsi="Times New Roman"/>
              </w:rPr>
            </w:pPr>
            <w:r w:rsidRPr="004303A3">
              <w:rPr>
                <w:rFonts w:ascii="Times New Roman" w:hAnsi="Times New Roman"/>
              </w:rPr>
              <w:t>ДСТУ 8509:2015</w:t>
            </w:r>
          </w:p>
        </w:tc>
        <w:tc>
          <w:tcPr>
            <w:tcW w:w="7228" w:type="dxa"/>
            <w:vAlign w:val="center"/>
          </w:tcPr>
          <w:p w:rsidR="00B13023" w:rsidRPr="00B13023" w:rsidRDefault="00B13023" w:rsidP="00B13023">
            <w:pPr>
              <w:pStyle w:val="Default"/>
              <w:ind w:left="-84"/>
              <w:jc w:val="both"/>
              <w:rPr>
                <w:bCs/>
                <w:sz w:val="18"/>
                <w:szCs w:val="20"/>
                <w:lang w:val="uk-UA"/>
              </w:rPr>
            </w:pPr>
            <w:r w:rsidRPr="00B13023">
              <w:rPr>
                <w:bCs/>
                <w:sz w:val="18"/>
                <w:szCs w:val="20"/>
                <w:lang w:val="uk-UA"/>
              </w:rPr>
              <w:t>Огірки консервовані врожаю 2022-2023 років, вирощені в природних умовах, без перевищеного вмісту хімічних речовин.</w:t>
            </w:r>
          </w:p>
          <w:p w:rsidR="00B13023" w:rsidRPr="00B13023" w:rsidRDefault="00B13023" w:rsidP="00B13023">
            <w:pPr>
              <w:pStyle w:val="Default"/>
              <w:ind w:left="-84"/>
              <w:jc w:val="both"/>
              <w:rPr>
                <w:bCs/>
                <w:sz w:val="18"/>
                <w:szCs w:val="20"/>
                <w:lang w:val="uk-UA"/>
              </w:rPr>
            </w:pPr>
            <w:r w:rsidRPr="00B13023">
              <w:rPr>
                <w:bCs/>
                <w:sz w:val="18"/>
                <w:szCs w:val="20"/>
                <w:lang w:val="uk-UA"/>
              </w:rPr>
              <w:t>Зовнішній вигляд – огірки середнього розміру, цілі, на дотик тверді, відповідають ботанічному сорту, не м’яті, не м’які, не зморщені, без пошкоджень шкідниками, хворобами та механічних пошкоджень.</w:t>
            </w:r>
          </w:p>
          <w:p w:rsidR="00B13023" w:rsidRPr="00B13023" w:rsidRDefault="00B13023" w:rsidP="00B13023">
            <w:pPr>
              <w:pStyle w:val="Default"/>
              <w:ind w:left="-84"/>
              <w:jc w:val="both"/>
              <w:rPr>
                <w:bCs/>
                <w:sz w:val="18"/>
                <w:szCs w:val="20"/>
                <w:lang w:val="uk-UA"/>
              </w:rPr>
            </w:pPr>
            <w:r w:rsidRPr="00B13023">
              <w:rPr>
                <w:bCs/>
                <w:sz w:val="18"/>
                <w:szCs w:val="20"/>
                <w:lang w:val="uk-UA"/>
              </w:rPr>
              <w:t>Не допускається – наявність огірків не типової форми, з м’якою консистенцією, занадто зморшкуватих.</w:t>
            </w:r>
          </w:p>
          <w:p w:rsidR="00B13023" w:rsidRPr="00B13023" w:rsidRDefault="00B13023" w:rsidP="00B13023">
            <w:pPr>
              <w:pStyle w:val="Default"/>
              <w:ind w:left="-84"/>
              <w:jc w:val="both"/>
              <w:rPr>
                <w:bCs/>
                <w:sz w:val="18"/>
                <w:szCs w:val="20"/>
                <w:lang w:val="uk-UA"/>
              </w:rPr>
            </w:pPr>
            <w:r w:rsidRPr="00B13023">
              <w:rPr>
                <w:bCs/>
                <w:sz w:val="18"/>
                <w:szCs w:val="20"/>
                <w:lang w:val="uk-UA"/>
              </w:rPr>
              <w:t>Колір – зеленувато-оливковий, різних відтінків, без плям та опіків.</w:t>
            </w:r>
          </w:p>
          <w:p w:rsidR="00B13023" w:rsidRPr="00B13023" w:rsidRDefault="00B13023" w:rsidP="00B13023">
            <w:pPr>
              <w:pStyle w:val="Default"/>
              <w:ind w:left="-84"/>
              <w:jc w:val="both"/>
              <w:rPr>
                <w:bCs/>
                <w:sz w:val="18"/>
                <w:szCs w:val="20"/>
                <w:lang w:val="uk-UA"/>
              </w:rPr>
            </w:pPr>
            <w:r w:rsidRPr="00B13023">
              <w:rPr>
                <w:bCs/>
                <w:sz w:val="18"/>
                <w:szCs w:val="20"/>
                <w:lang w:val="uk-UA"/>
              </w:rPr>
              <w:t>Смак і запах – відповідає солоним огіркам, солонувато-кислуватий, з ароматом і присмаком добавлених прянощів, без стороннього запаху і присмаку.</w:t>
            </w:r>
          </w:p>
          <w:p w:rsidR="00B13023" w:rsidRPr="00B13023" w:rsidRDefault="00B13023" w:rsidP="00B13023">
            <w:pPr>
              <w:pStyle w:val="Default"/>
              <w:ind w:left="-84"/>
              <w:jc w:val="both"/>
              <w:rPr>
                <w:bCs/>
                <w:sz w:val="18"/>
                <w:szCs w:val="20"/>
                <w:lang w:val="uk-UA"/>
              </w:rPr>
            </w:pPr>
            <w:r w:rsidRPr="00B13023">
              <w:rPr>
                <w:bCs/>
                <w:sz w:val="18"/>
                <w:szCs w:val="20"/>
                <w:lang w:val="uk-UA"/>
              </w:rPr>
              <w:t>Консистенція – соковита, хрустка, м’якоть плодів щільна, без внутрішніх пустот, з недорозвиненим водянистим насінням, повністю просочена розсолом.</w:t>
            </w:r>
          </w:p>
          <w:p w:rsidR="00B13023" w:rsidRPr="00B13023" w:rsidRDefault="00B13023" w:rsidP="00B13023">
            <w:pPr>
              <w:pStyle w:val="Default"/>
              <w:ind w:left="-84"/>
              <w:jc w:val="both"/>
              <w:rPr>
                <w:bCs/>
                <w:sz w:val="18"/>
                <w:szCs w:val="20"/>
                <w:lang w:val="uk-UA"/>
              </w:rPr>
            </w:pPr>
            <w:r w:rsidRPr="00B13023">
              <w:rPr>
                <w:bCs/>
                <w:sz w:val="18"/>
                <w:szCs w:val="20"/>
                <w:lang w:val="uk-UA"/>
              </w:rPr>
              <w:t>Якість розсолу – майже прозорий або злегка помутнілий, приємного аромату, солонувато-кислий, без наявності плісняви.</w:t>
            </w:r>
          </w:p>
          <w:p w:rsidR="00B13023" w:rsidRPr="00B13023" w:rsidRDefault="00B13023" w:rsidP="00B13023">
            <w:pPr>
              <w:pStyle w:val="Default"/>
              <w:ind w:left="-84"/>
              <w:jc w:val="both"/>
              <w:rPr>
                <w:bCs/>
                <w:sz w:val="18"/>
                <w:szCs w:val="20"/>
                <w:lang w:val="uk-UA"/>
              </w:rPr>
            </w:pPr>
            <w:r w:rsidRPr="00B13023">
              <w:rPr>
                <w:bCs/>
                <w:sz w:val="18"/>
                <w:szCs w:val="20"/>
                <w:lang w:val="uk-UA"/>
              </w:rPr>
              <w:t>Пакування – огірки солоні запаковані в поліетиленові відра з закритою кришками поверхнею, що дозволені для контакту з харчовими продуктами.</w:t>
            </w:r>
          </w:p>
          <w:p w:rsidR="00B13023" w:rsidRPr="00B13023" w:rsidRDefault="00B13023" w:rsidP="00B13023">
            <w:pPr>
              <w:pStyle w:val="Default"/>
              <w:ind w:left="-84"/>
              <w:jc w:val="both"/>
              <w:rPr>
                <w:bCs/>
                <w:sz w:val="18"/>
                <w:szCs w:val="20"/>
                <w:lang w:val="uk-UA"/>
              </w:rPr>
            </w:pPr>
            <w:r w:rsidRPr="00B13023">
              <w:rPr>
                <w:bCs/>
                <w:sz w:val="18"/>
                <w:szCs w:val="20"/>
                <w:lang w:val="uk-UA"/>
              </w:rPr>
              <w:t>Маса нетто одиниці упаковки - від 5 кг до 20 кг.</w:t>
            </w:r>
          </w:p>
          <w:p w:rsidR="00B13023" w:rsidRPr="00B13023" w:rsidRDefault="00B13023" w:rsidP="00B13023">
            <w:pPr>
              <w:pStyle w:val="Default"/>
              <w:ind w:left="-84"/>
              <w:jc w:val="both"/>
              <w:rPr>
                <w:bCs/>
                <w:sz w:val="18"/>
                <w:szCs w:val="20"/>
                <w:lang w:val="uk-UA"/>
              </w:rPr>
            </w:pPr>
            <w:r w:rsidRPr="00B13023">
              <w:rPr>
                <w:bCs/>
                <w:sz w:val="18"/>
                <w:szCs w:val="20"/>
                <w:lang w:val="uk-UA"/>
              </w:rPr>
              <w:t>Маркування – кожна одиниця пакувальної тари повинна бути промаркована за допомогою ярлика/етикетки з наступною інформацією: назва харчового продукту, назва та адреса виробника, вага нетто, склад, дата виготовлення, термін придатності та умови зберігання.</w:t>
            </w:r>
          </w:p>
          <w:p w:rsidR="00B13023" w:rsidRPr="00B13023" w:rsidRDefault="00B13023" w:rsidP="00B13023">
            <w:pPr>
              <w:pStyle w:val="Default"/>
              <w:ind w:left="-84"/>
              <w:jc w:val="both"/>
              <w:rPr>
                <w:bCs/>
                <w:sz w:val="18"/>
                <w:szCs w:val="20"/>
                <w:lang w:val="uk-UA"/>
              </w:rPr>
            </w:pPr>
            <w:r w:rsidRPr="00B13023">
              <w:rPr>
                <w:bCs/>
                <w:sz w:val="18"/>
                <w:szCs w:val="20"/>
                <w:lang w:val="uk-UA"/>
              </w:rPr>
              <w:t>На момент поставки термін придатності до споживання товару повинен складати не менше 80% від загального терміну придатності до споживання.</w:t>
            </w:r>
          </w:p>
          <w:p w:rsidR="00B13023" w:rsidRPr="00B13023" w:rsidRDefault="00B13023" w:rsidP="00B13023">
            <w:pPr>
              <w:pStyle w:val="Default"/>
              <w:ind w:left="-84"/>
              <w:jc w:val="both"/>
              <w:rPr>
                <w:bCs/>
                <w:sz w:val="18"/>
                <w:szCs w:val="20"/>
                <w:lang w:val="uk-UA"/>
              </w:rPr>
            </w:pPr>
            <w:r w:rsidRPr="00B13023">
              <w:rPr>
                <w:bCs/>
                <w:sz w:val="18"/>
                <w:szCs w:val="20"/>
                <w:lang w:val="uk-UA"/>
              </w:rPr>
              <w:t>Товар не повинен містити генетично модифіковані організми (ГМО), що обов’язково відображається на етикетці маркуванням «без ГМО».</w:t>
            </w:r>
          </w:p>
        </w:tc>
        <w:tc>
          <w:tcPr>
            <w:tcW w:w="1134" w:type="dxa"/>
            <w:vAlign w:val="center"/>
          </w:tcPr>
          <w:p w:rsidR="00B13023" w:rsidRPr="004303A3" w:rsidRDefault="00B13023" w:rsidP="00B1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3A3">
              <w:rPr>
                <w:rFonts w:ascii="Times New Roman" w:hAnsi="Times New Roman"/>
              </w:rPr>
              <w:t>кг</w:t>
            </w:r>
          </w:p>
        </w:tc>
        <w:tc>
          <w:tcPr>
            <w:tcW w:w="1134" w:type="dxa"/>
            <w:vAlign w:val="center"/>
          </w:tcPr>
          <w:p w:rsidR="00B13023" w:rsidRPr="004303A3" w:rsidRDefault="00B13023" w:rsidP="00B1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3A3">
              <w:rPr>
                <w:rFonts w:ascii="Times New Roman" w:eastAsia="Times New Roman" w:hAnsi="Times New Roman" w:cs="Times New Roman"/>
              </w:rPr>
              <w:t>1 500</w:t>
            </w:r>
          </w:p>
        </w:tc>
        <w:tc>
          <w:tcPr>
            <w:tcW w:w="1416" w:type="dxa"/>
            <w:vAlign w:val="center"/>
          </w:tcPr>
          <w:p w:rsidR="00B13023" w:rsidRPr="004303A3" w:rsidRDefault="00B13023" w:rsidP="00B1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3023">
              <w:rPr>
                <w:rFonts w:ascii="Times New Roman" w:eastAsia="Times New Roman" w:hAnsi="Times New Roman" w:cs="Times New Roman"/>
              </w:rPr>
              <w:t>один раз на тиждень</w:t>
            </w:r>
          </w:p>
        </w:tc>
      </w:tr>
      <w:tr w:rsidR="00B13023" w:rsidRPr="004303A3" w:rsidTr="00B13023">
        <w:trPr>
          <w:cantSplit/>
        </w:trPr>
        <w:tc>
          <w:tcPr>
            <w:tcW w:w="455" w:type="dxa"/>
            <w:vAlign w:val="center"/>
          </w:tcPr>
          <w:p w:rsidR="00B13023" w:rsidRPr="004303A3" w:rsidRDefault="00B13023" w:rsidP="00B13023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/>
                <w:color w:val="000000"/>
              </w:rPr>
            </w:pPr>
            <w:r w:rsidRPr="004303A3">
              <w:rPr>
                <w:rFonts w:ascii="Times New Roman" w:hAnsi="Times New Roman"/>
                <w:color w:val="000000"/>
              </w:rPr>
              <w:lastRenderedPageBreak/>
              <w:t>23</w:t>
            </w:r>
          </w:p>
        </w:tc>
        <w:tc>
          <w:tcPr>
            <w:tcW w:w="1417" w:type="dxa"/>
            <w:vMerge/>
            <w:vAlign w:val="center"/>
          </w:tcPr>
          <w:p w:rsidR="00B13023" w:rsidRPr="004303A3" w:rsidRDefault="00B13023" w:rsidP="00B13023">
            <w:pPr>
              <w:spacing w:after="0" w:line="240" w:lineRule="auto"/>
              <w:ind w:left="-84"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13023" w:rsidRPr="004303A3" w:rsidRDefault="00B13023" w:rsidP="00B13023">
            <w:pPr>
              <w:spacing w:after="0" w:line="240" w:lineRule="auto"/>
              <w:ind w:left="-84" w:right="-108"/>
              <w:rPr>
                <w:rFonts w:ascii="Times New Roman" w:hAnsi="Times New Roman"/>
                <w:color w:val="000000"/>
              </w:rPr>
            </w:pPr>
            <w:r w:rsidRPr="004303A3">
              <w:rPr>
                <w:rFonts w:ascii="Times New Roman" w:hAnsi="Times New Roman"/>
                <w:color w:val="000000"/>
              </w:rPr>
              <w:t>Капуста квашена</w:t>
            </w:r>
          </w:p>
        </w:tc>
        <w:tc>
          <w:tcPr>
            <w:tcW w:w="1277" w:type="dxa"/>
            <w:vAlign w:val="center"/>
          </w:tcPr>
          <w:p w:rsidR="00B13023" w:rsidRPr="004303A3" w:rsidRDefault="00B13023" w:rsidP="00B13023">
            <w:pPr>
              <w:spacing w:after="0" w:line="240" w:lineRule="auto"/>
              <w:ind w:left="-104" w:right="-106"/>
              <w:jc w:val="center"/>
              <w:rPr>
                <w:rFonts w:ascii="Times New Roman" w:hAnsi="Times New Roman"/>
              </w:rPr>
            </w:pPr>
            <w:r w:rsidRPr="004303A3">
              <w:rPr>
                <w:rFonts w:ascii="Times New Roman" w:hAnsi="Times New Roman"/>
              </w:rPr>
              <w:t>ДСТУ 8642:2016</w:t>
            </w:r>
          </w:p>
        </w:tc>
        <w:tc>
          <w:tcPr>
            <w:tcW w:w="7228" w:type="dxa"/>
            <w:vAlign w:val="center"/>
          </w:tcPr>
          <w:p w:rsidR="00B13023" w:rsidRPr="00B13023" w:rsidRDefault="00B13023" w:rsidP="00B13023">
            <w:pPr>
              <w:pStyle w:val="Default"/>
              <w:ind w:left="-84"/>
              <w:jc w:val="both"/>
              <w:rPr>
                <w:bCs/>
                <w:sz w:val="18"/>
                <w:szCs w:val="20"/>
                <w:lang w:val="uk-UA"/>
              </w:rPr>
            </w:pPr>
            <w:r w:rsidRPr="00B13023">
              <w:rPr>
                <w:bCs/>
                <w:sz w:val="18"/>
                <w:szCs w:val="20"/>
                <w:lang w:val="uk-UA"/>
              </w:rPr>
              <w:t>Продукт отриманий із капусти свіжої білоголової, врожаю 2022-2023 років, при її молочно кислому бродінні (квашені), рівномірно нашаткована соломкою, без крупних частинок, з рівномірно розташованою в ній натертою або дрібно нашаткованою морквою.</w:t>
            </w:r>
          </w:p>
          <w:p w:rsidR="00B13023" w:rsidRPr="00B13023" w:rsidRDefault="00B13023" w:rsidP="00B13023">
            <w:pPr>
              <w:pStyle w:val="Default"/>
              <w:ind w:left="-84"/>
              <w:jc w:val="both"/>
              <w:rPr>
                <w:bCs/>
                <w:sz w:val="18"/>
                <w:szCs w:val="20"/>
                <w:lang w:val="uk-UA"/>
              </w:rPr>
            </w:pPr>
            <w:r w:rsidRPr="00B13023">
              <w:rPr>
                <w:bCs/>
                <w:sz w:val="18"/>
                <w:szCs w:val="20"/>
                <w:lang w:val="uk-UA"/>
              </w:rPr>
              <w:t>Не допускається – наявність частин внутрішнього качана капусти, не порізаної моркви та не порізаних або грубо порізаних листків капусти, механічних та інших сторонніх домішок.</w:t>
            </w:r>
          </w:p>
          <w:p w:rsidR="00B13023" w:rsidRPr="00B13023" w:rsidRDefault="00B13023" w:rsidP="00B13023">
            <w:pPr>
              <w:pStyle w:val="Default"/>
              <w:ind w:left="-84"/>
              <w:jc w:val="both"/>
              <w:rPr>
                <w:bCs/>
                <w:sz w:val="18"/>
                <w:szCs w:val="20"/>
                <w:lang w:val="uk-UA"/>
              </w:rPr>
            </w:pPr>
            <w:r w:rsidRPr="00B13023">
              <w:rPr>
                <w:bCs/>
                <w:sz w:val="18"/>
                <w:szCs w:val="20"/>
                <w:lang w:val="uk-UA"/>
              </w:rPr>
              <w:t>Колір – білий з жовтуватим відтінком.</w:t>
            </w:r>
          </w:p>
          <w:p w:rsidR="00B13023" w:rsidRPr="00B13023" w:rsidRDefault="00B13023" w:rsidP="00B13023">
            <w:pPr>
              <w:pStyle w:val="Default"/>
              <w:ind w:left="-84"/>
              <w:jc w:val="both"/>
              <w:rPr>
                <w:bCs/>
                <w:sz w:val="18"/>
                <w:szCs w:val="20"/>
                <w:lang w:val="uk-UA"/>
              </w:rPr>
            </w:pPr>
            <w:r w:rsidRPr="00B13023">
              <w:rPr>
                <w:bCs/>
                <w:sz w:val="18"/>
                <w:szCs w:val="20"/>
                <w:lang w:val="uk-UA"/>
              </w:rPr>
              <w:t>Смак і запах – відповідає квашеній капусті, приємний, солонувато-кислуватий, без стороннього запаху і присмаку.</w:t>
            </w:r>
          </w:p>
          <w:p w:rsidR="00B13023" w:rsidRPr="00B13023" w:rsidRDefault="00B13023" w:rsidP="00B13023">
            <w:pPr>
              <w:pStyle w:val="Default"/>
              <w:ind w:left="-84"/>
              <w:jc w:val="both"/>
              <w:rPr>
                <w:bCs/>
                <w:sz w:val="18"/>
                <w:szCs w:val="20"/>
                <w:lang w:val="uk-UA"/>
              </w:rPr>
            </w:pPr>
            <w:r w:rsidRPr="00B13023">
              <w:rPr>
                <w:bCs/>
                <w:sz w:val="18"/>
                <w:szCs w:val="20"/>
                <w:lang w:val="uk-UA"/>
              </w:rPr>
              <w:t>Консистенція – пружна, соковита, хрустка.</w:t>
            </w:r>
          </w:p>
          <w:p w:rsidR="00B13023" w:rsidRPr="00B13023" w:rsidRDefault="00B13023" w:rsidP="00B13023">
            <w:pPr>
              <w:pStyle w:val="Default"/>
              <w:ind w:left="-84"/>
              <w:jc w:val="both"/>
              <w:rPr>
                <w:bCs/>
                <w:sz w:val="18"/>
                <w:szCs w:val="20"/>
                <w:lang w:val="uk-UA"/>
              </w:rPr>
            </w:pPr>
            <w:r w:rsidRPr="00B13023">
              <w:rPr>
                <w:bCs/>
                <w:sz w:val="18"/>
                <w:szCs w:val="20"/>
                <w:lang w:val="uk-UA"/>
              </w:rPr>
              <w:t>Якість розсолу – прозорий, приємного аромату, солонувато-кислий, без плісняви в середині та на поверхні.</w:t>
            </w:r>
          </w:p>
          <w:p w:rsidR="00B13023" w:rsidRPr="00B13023" w:rsidRDefault="00B13023" w:rsidP="00B13023">
            <w:pPr>
              <w:pStyle w:val="Default"/>
              <w:ind w:left="-84"/>
              <w:jc w:val="both"/>
              <w:rPr>
                <w:bCs/>
                <w:sz w:val="18"/>
                <w:szCs w:val="20"/>
                <w:lang w:val="uk-UA"/>
              </w:rPr>
            </w:pPr>
            <w:r w:rsidRPr="00B13023">
              <w:rPr>
                <w:bCs/>
                <w:sz w:val="18"/>
                <w:szCs w:val="20"/>
                <w:lang w:val="uk-UA"/>
              </w:rPr>
              <w:t>Масова частка капусти (після вільного витікання розсолу) – 88-90% по відношенню до загальної маси з розсолом.</w:t>
            </w:r>
          </w:p>
          <w:p w:rsidR="00B13023" w:rsidRPr="00B13023" w:rsidRDefault="00B13023" w:rsidP="00B13023">
            <w:pPr>
              <w:pStyle w:val="Default"/>
              <w:ind w:left="-84"/>
              <w:jc w:val="both"/>
              <w:rPr>
                <w:bCs/>
                <w:sz w:val="18"/>
                <w:szCs w:val="20"/>
                <w:lang w:val="uk-UA"/>
              </w:rPr>
            </w:pPr>
            <w:r w:rsidRPr="00B13023">
              <w:rPr>
                <w:bCs/>
                <w:sz w:val="18"/>
                <w:szCs w:val="20"/>
                <w:lang w:val="uk-UA"/>
              </w:rPr>
              <w:t>Пакування – капуста квашена запакована в поліетиленові відра з закритою кришками поверхнею, що дозволені для контакту з харчовими продуктами.</w:t>
            </w:r>
          </w:p>
          <w:p w:rsidR="00B13023" w:rsidRPr="00B13023" w:rsidRDefault="00B13023" w:rsidP="00B13023">
            <w:pPr>
              <w:pStyle w:val="Default"/>
              <w:ind w:left="-84"/>
              <w:jc w:val="both"/>
              <w:rPr>
                <w:bCs/>
                <w:sz w:val="18"/>
                <w:szCs w:val="20"/>
                <w:lang w:val="uk-UA"/>
              </w:rPr>
            </w:pPr>
            <w:r w:rsidRPr="00B13023">
              <w:rPr>
                <w:bCs/>
                <w:sz w:val="18"/>
                <w:szCs w:val="20"/>
                <w:lang w:val="uk-UA"/>
              </w:rPr>
              <w:t>Маса нетто одиниці упаковки - від 5 кг до 20 кг.</w:t>
            </w:r>
          </w:p>
          <w:p w:rsidR="00B13023" w:rsidRPr="00B13023" w:rsidRDefault="00B13023" w:rsidP="00B13023">
            <w:pPr>
              <w:pStyle w:val="Default"/>
              <w:ind w:left="-84"/>
              <w:jc w:val="both"/>
              <w:rPr>
                <w:bCs/>
                <w:sz w:val="18"/>
                <w:szCs w:val="20"/>
                <w:lang w:val="uk-UA"/>
              </w:rPr>
            </w:pPr>
            <w:r w:rsidRPr="00B13023">
              <w:rPr>
                <w:bCs/>
                <w:sz w:val="18"/>
                <w:szCs w:val="20"/>
                <w:lang w:val="uk-UA"/>
              </w:rPr>
              <w:t>Маркування – кожна одиниця пакувальної тари повинна бути промаркована за допомогою ярлика/етикетки з наступною інформацією: назва харчового продукту, назва та адреса виробника, вага нетто, склад, дата виготовлення, термін придатності та умови зберігання.</w:t>
            </w:r>
          </w:p>
          <w:p w:rsidR="00B13023" w:rsidRPr="00B13023" w:rsidRDefault="00B13023" w:rsidP="00B13023">
            <w:pPr>
              <w:pStyle w:val="Default"/>
              <w:ind w:left="-84"/>
              <w:jc w:val="both"/>
              <w:rPr>
                <w:bCs/>
                <w:sz w:val="18"/>
                <w:szCs w:val="20"/>
                <w:lang w:val="uk-UA"/>
              </w:rPr>
            </w:pPr>
            <w:r w:rsidRPr="00B13023">
              <w:rPr>
                <w:bCs/>
                <w:sz w:val="18"/>
                <w:szCs w:val="20"/>
                <w:lang w:val="uk-UA"/>
              </w:rPr>
              <w:t>На момент поставки термін придатності до споживання товару повинен складати не менше 80% від загального терміну придатності до споживання.</w:t>
            </w:r>
          </w:p>
          <w:p w:rsidR="00B13023" w:rsidRPr="00B13023" w:rsidRDefault="00B13023" w:rsidP="00B13023">
            <w:pPr>
              <w:pStyle w:val="Default"/>
              <w:ind w:left="-84"/>
              <w:jc w:val="both"/>
              <w:rPr>
                <w:bCs/>
                <w:sz w:val="18"/>
                <w:szCs w:val="20"/>
                <w:lang w:val="uk-UA"/>
              </w:rPr>
            </w:pPr>
            <w:r w:rsidRPr="00B13023">
              <w:rPr>
                <w:bCs/>
                <w:sz w:val="18"/>
                <w:szCs w:val="20"/>
                <w:lang w:val="uk-UA"/>
              </w:rPr>
              <w:t>Товар не повинен містити генетично модифіковані організми (ГМО), що обов’язково відображається на етикетці маркуванням «без ГМО».</w:t>
            </w:r>
          </w:p>
        </w:tc>
        <w:tc>
          <w:tcPr>
            <w:tcW w:w="1134" w:type="dxa"/>
            <w:vAlign w:val="center"/>
          </w:tcPr>
          <w:p w:rsidR="00B13023" w:rsidRPr="004303A3" w:rsidRDefault="00B13023" w:rsidP="00B1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3A3">
              <w:rPr>
                <w:rFonts w:ascii="Times New Roman" w:hAnsi="Times New Roman"/>
              </w:rPr>
              <w:t>кг</w:t>
            </w:r>
          </w:p>
        </w:tc>
        <w:tc>
          <w:tcPr>
            <w:tcW w:w="1134" w:type="dxa"/>
            <w:vAlign w:val="center"/>
          </w:tcPr>
          <w:p w:rsidR="00B13023" w:rsidRPr="004303A3" w:rsidRDefault="00B13023" w:rsidP="00B1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3A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6" w:type="dxa"/>
            <w:vAlign w:val="center"/>
          </w:tcPr>
          <w:p w:rsidR="00B13023" w:rsidRPr="004303A3" w:rsidRDefault="00B13023" w:rsidP="00B1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3023">
              <w:rPr>
                <w:rFonts w:ascii="Times New Roman" w:eastAsia="Times New Roman" w:hAnsi="Times New Roman" w:cs="Times New Roman"/>
              </w:rPr>
              <w:t>один раз на тиждень</w:t>
            </w:r>
          </w:p>
        </w:tc>
      </w:tr>
    </w:tbl>
    <w:p w:rsidR="005B519C" w:rsidRPr="00D72585" w:rsidRDefault="005B519C" w:rsidP="004303A3">
      <w:pPr>
        <w:spacing w:after="120" w:line="240" w:lineRule="auto"/>
        <w:jc w:val="both"/>
        <w:rPr>
          <w:rFonts w:ascii="Times New Roman" w:hAnsi="Times New Roman" w:cs="Times New Roman"/>
          <w:i/>
          <w:iCs/>
          <w:szCs w:val="24"/>
        </w:rPr>
      </w:pPr>
      <w:r w:rsidRPr="00D72585">
        <w:rPr>
          <w:rFonts w:ascii="Times New Roman" w:hAnsi="Times New Roman" w:cs="Times New Roman"/>
          <w:szCs w:val="24"/>
        </w:rPr>
        <w:t xml:space="preserve">* </w:t>
      </w:r>
      <w:r w:rsidRPr="00D72585">
        <w:rPr>
          <w:rFonts w:ascii="Times New Roman" w:hAnsi="Times New Roman" w:cs="Times New Roman"/>
          <w:i/>
          <w:iCs/>
          <w:szCs w:val="24"/>
        </w:rPr>
        <w:t>У разі, якщо у технічних вимогах йде посилання на конкретну марку чи фірму, патент, конструкцію або тип товару, то вважається, що технічні вимоги містять вираз «або еквівалент».</w:t>
      </w:r>
    </w:p>
    <w:p w:rsidR="005B519C" w:rsidRPr="00D72585" w:rsidRDefault="005B519C" w:rsidP="005B5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585">
        <w:rPr>
          <w:rFonts w:ascii="Times New Roman" w:hAnsi="Times New Roman"/>
          <w:sz w:val="24"/>
          <w:szCs w:val="24"/>
        </w:rPr>
        <w:t>Умови поставки:</w:t>
      </w:r>
    </w:p>
    <w:p w:rsidR="005B519C" w:rsidRPr="00FB0DC5" w:rsidRDefault="005B519C" w:rsidP="005B5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B81">
        <w:rPr>
          <w:rFonts w:ascii="Times New Roman" w:hAnsi="Times New Roman"/>
          <w:sz w:val="24"/>
          <w:szCs w:val="24"/>
        </w:rPr>
        <w:t>1. Товар має постачатися дрібними партіями у кількості та асортименті згідно із заявками. Графік поставки – постачальник погоджує індивідуально, в за</w:t>
      </w:r>
      <w:r w:rsidR="00197588">
        <w:rPr>
          <w:rFonts w:ascii="Times New Roman" w:hAnsi="Times New Roman"/>
          <w:sz w:val="24"/>
          <w:szCs w:val="24"/>
        </w:rPr>
        <w:t>лежності від потреби замовника</w:t>
      </w:r>
      <w:r w:rsidRPr="00A63B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Постачання здійснюється з 8-00 до 13-00, крім вихідних.</w:t>
      </w:r>
    </w:p>
    <w:p w:rsidR="005B519C" w:rsidRPr="004D2D4F" w:rsidRDefault="005B519C" w:rsidP="005B5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D4F">
        <w:rPr>
          <w:rFonts w:ascii="Times New Roman" w:hAnsi="Times New Roman"/>
          <w:sz w:val="24"/>
          <w:szCs w:val="24"/>
        </w:rPr>
        <w:t>2. Ціну вказати за 1 одиницю виміру з ПДВ (якщо учасник не платник ПДВ відповідно до чинного законодавства – ціна за 1 одиницю виміру - вказується без ПДВ).</w:t>
      </w:r>
    </w:p>
    <w:p w:rsidR="005B519C" w:rsidRPr="00D72585" w:rsidRDefault="005B519C" w:rsidP="005B519C">
      <w:pPr>
        <w:pStyle w:val="Default"/>
        <w:ind w:firstLine="709"/>
        <w:jc w:val="both"/>
        <w:rPr>
          <w:color w:val="auto"/>
          <w:lang w:val="uk-UA"/>
        </w:rPr>
      </w:pPr>
      <w:r w:rsidRPr="00D72585">
        <w:rPr>
          <w:color w:val="auto"/>
          <w:lang w:val="uk-UA"/>
        </w:rPr>
        <w:t>3. Якісні характеристики предмету закупівлі, що закуповується, повинні відповідати Закону України «Про основні принципи та вимоги до безпечності та якості харчових продуктів» від 23.12.1997 №771/97-ВР (зі змінами), стандартам, державним стандартам, передбаченим законодавством України.</w:t>
      </w:r>
    </w:p>
    <w:p w:rsidR="005B519C" w:rsidRPr="00D72585" w:rsidRDefault="005B519C" w:rsidP="005B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585">
        <w:rPr>
          <w:rFonts w:ascii="Times New Roman" w:hAnsi="Times New Roman"/>
          <w:sz w:val="24"/>
          <w:szCs w:val="24"/>
        </w:rPr>
        <w:t>4. Технічні характеристики предмету закупівлі, що закуповуються, повинні відповідати Санітарним правилам для підприємств продовольчої торгівлі, технічним умовам та стандартам, передбаченим законодавством України.</w:t>
      </w:r>
    </w:p>
    <w:p w:rsidR="005B519C" w:rsidRPr="00D72585" w:rsidRDefault="005B519C" w:rsidP="005B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585">
        <w:rPr>
          <w:rFonts w:ascii="Times New Roman" w:hAnsi="Times New Roman"/>
          <w:sz w:val="24"/>
          <w:szCs w:val="24"/>
        </w:rPr>
        <w:t>Дотримання умов температурного режиму для продуктів харчування, які цього потребують при їх зберіганні та перевезенні.</w:t>
      </w:r>
    </w:p>
    <w:p w:rsidR="005B519C" w:rsidRPr="00D72585" w:rsidRDefault="005B519C" w:rsidP="005B519C">
      <w:pPr>
        <w:pStyle w:val="Default"/>
        <w:ind w:firstLine="709"/>
        <w:jc w:val="both"/>
        <w:rPr>
          <w:color w:val="auto"/>
          <w:lang w:val="uk-UA"/>
        </w:rPr>
      </w:pPr>
      <w:r w:rsidRPr="00D72585">
        <w:rPr>
          <w:color w:val="auto"/>
          <w:lang w:val="uk-UA"/>
        </w:rPr>
        <w:t xml:space="preserve">5. Товар повинен надходити згідно поданих заявок і відповідати вимогам державних стандартів, а також іншій нормативно-технічній документації. Кожна партія товару має супроводжуватися документами, що завірені належним чином, що засвідчують якість та безпеку запропонованої в повному обсязі продукції, що є предметом закупівлі, наявність яких передбачена чинним законодавством (сертифікати </w:t>
      </w:r>
      <w:r w:rsidRPr="00D72585">
        <w:rPr>
          <w:color w:val="auto"/>
          <w:lang w:val="uk-UA"/>
        </w:rPr>
        <w:lastRenderedPageBreak/>
        <w:t>відповідності та/або посвідчення про якість та/або декларація про якість, експертні висновки, висновки санітарно-епідеміологічної експертизи (СЕС) (у разі наявності) та/або довідки).</w:t>
      </w:r>
    </w:p>
    <w:p w:rsidR="005B519C" w:rsidRPr="00D72585" w:rsidRDefault="005B519C" w:rsidP="005B5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585">
        <w:rPr>
          <w:rFonts w:ascii="Times New Roman" w:hAnsi="Times New Roman"/>
          <w:sz w:val="24"/>
          <w:szCs w:val="24"/>
        </w:rPr>
        <w:t>6. В ДНП «Національний інститут раку» забороняється завозити недоброякісний товар або товар з терміном придатності, що минув.</w:t>
      </w:r>
    </w:p>
    <w:p w:rsidR="005B519C" w:rsidRPr="00D72585" w:rsidRDefault="005B519C" w:rsidP="005B5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585">
        <w:rPr>
          <w:rFonts w:ascii="Times New Roman" w:hAnsi="Times New Roman"/>
          <w:sz w:val="24"/>
          <w:szCs w:val="24"/>
        </w:rPr>
        <w:t>На недоброякісний товар складається акт і він повертається постачальнику.</w:t>
      </w:r>
    </w:p>
    <w:p w:rsidR="005B519C" w:rsidRPr="00D72585" w:rsidRDefault="005B519C" w:rsidP="005B5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585">
        <w:rPr>
          <w:rFonts w:ascii="Times New Roman" w:hAnsi="Times New Roman"/>
          <w:sz w:val="24"/>
          <w:szCs w:val="24"/>
        </w:rPr>
        <w:t>У разі виявлення недоброякісного товару постачальник зобов’язаний замінити цей товар на якісний протягом 8 годин.</w:t>
      </w:r>
    </w:p>
    <w:p w:rsidR="005B519C" w:rsidRPr="00D72585" w:rsidRDefault="005B519C" w:rsidP="005B5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585">
        <w:rPr>
          <w:rFonts w:ascii="Times New Roman" w:hAnsi="Times New Roman"/>
          <w:sz w:val="24"/>
          <w:szCs w:val="24"/>
        </w:rPr>
        <w:t>7. Поставка товару має здійснюватися на автотранспорті, що призначений та обладнаний для перевезення харчових продуктів і за рахунок постачальника. Автомобіль, що перевозить харчові продукти, повинен бути забезпечений санітарним паспортом.</w:t>
      </w:r>
    </w:p>
    <w:p w:rsidR="005B519C" w:rsidRPr="00D72585" w:rsidRDefault="005B519C" w:rsidP="005B5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585">
        <w:rPr>
          <w:rFonts w:ascii="Times New Roman" w:hAnsi="Times New Roman"/>
          <w:sz w:val="24"/>
          <w:szCs w:val="24"/>
        </w:rPr>
        <w:t xml:space="preserve">8. Постачальник забезпечує належне санітарне утримання виробничих приміщень, обладнання, </w:t>
      </w:r>
      <w:proofErr w:type="spellStart"/>
      <w:r w:rsidRPr="00D72585">
        <w:rPr>
          <w:rFonts w:ascii="Times New Roman" w:hAnsi="Times New Roman"/>
          <w:sz w:val="24"/>
          <w:szCs w:val="24"/>
        </w:rPr>
        <w:t>інвентаря</w:t>
      </w:r>
      <w:proofErr w:type="spellEnd"/>
      <w:r w:rsidRPr="00D72585">
        <w:rPr>
          <w:rFonts w:ascii="Times New Roman" w:hAnsi="Times New Roman"/>
          <w:sz w:val="24"/>
          <w:szCs w:val="24"/>
        </w:rPr>
        <w:t>, а також контролює дотримання працівниками постачальника правил особистої гігієни.</w:t>
      </w:r>
    </w:p>
    <w:p w:rsidR="005B519C" w:rsidRPr="00D72585" w:rsidRDefault="005B519C" w:rsidP="005B5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585">
        <w:rPr>
          <w:rFonts w:ascii="Times New Roman" w:hAnsi="Times New Roman"/>
          <w:sz w:val="24"/>
          <w:szCs w:val="24"/>
        </w:rPr>
        <w:t xml:space="preserve">9. Водій та особи, які супроводжують продукти в дорозі і виконують </w:t>
      </w:r>
      <w:proofErr w:type="spellStart"/>
      <w:r w:rsidRPr="00D72585">
        <w:rPr>
          <w:rFonts w:ascii="Times New Roman" w:hAnsi="Times New Roman"/>
          <w:sz w:val="24"/>
          <w:szCs w:val="24"/>
        </w:rPr>
        <w:t>навантажувальні–розвантажувальні</w:t>
      </w:r>
      <w:proofErr w:type="spellEnd"/>
      <w:r w:rsidRPr="00D72585">
        <w:rPr>
          <w:rFonts w:ascii="Times New Roman" w:hAnsi="Times New Roman"/>
          <w:sz w:val="24"/>
          <w:szCs w:val="24"/>
        </w:rPr>
        <w:t xml:space="preserve"> роботи повинні мати медичну книжку з результатами проходження обов'язкових медичних оглядів та забезпечені спецодягом.</w:t>
      </w:r>
    </w:p>
    <w:p w:rsidR="005B519C" w:rsidRPr="00D72585" w:rsidRDefault="005B519C" w:rsidP="005B5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585">
        <w:rPr>
          <w:rFonts w:ascii="Times New Roman" w:hAnsi="Times New Roman"/>
          <w:sz w:val="24"/>
          <w:szCs w:val="24"/>
        </w:rPr>
        <w:t>10. Постачальник самостійно проводить розвантажувальні роботи в спеціальні приміщення вказані в заявках.</w:t>
      </w:r>
    </w:p>
    <w:p w:rsidR="005B519C" w:rsidRPr="00D72585" w:rsidRDefault="005B519C" w:rsidP="005B5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585">
        <w:rPr>
          <w:rFonts w:ascii="Times New Roman" w:hAnsi="Times New Roman"/>
          <w:sz w:val="24"/>
          <w:szCs w:val="24"/>
        </w:rPr>
        <w:t>11. Учасник повинен в складі тендерної пропозиції додатково надати гарантійний лист щодо забезпечення належних умов зберігання та транспортування товару з обов’язковим зазначенням адреси складських приміщень.</w:t>
      </w:r>
    </w:p>
    <w:p w:rsidR="00AF5738" w:rsidRDefault="00AF5738" w:rsidP="005B519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4303A3" w:rsidRPr="005259D2" w:rsidRDefault="004303A3" w:rsidP="005B519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B519C" w:rsidRPr="00D72585" w:rsidRDefault="005B519C" w:rsidP="00AF5738">
      <w:pPr>
        <w:spacing w:after="0" w:line="240" w:lineRule="auto"/>
        <w:ind w:left="5245" w:hanging="5245"/>
        <w:jc w:val="both"/>
        <w:rPr>
          <w:rFonts w:ascii="Times New Roman" w:hAnsi="Times New Roman" w:cs="Times New Roman"/>
          <w:sz w:val="24"/>
          <w:szCs w:val="24"/>
        </w:rPr>
      </w:pPr>
    </w:p>
    <w:sectPr w:rsidR="005B519C" w:rsidRPr="00D72585" w:rsidSect="00197588">
      <w:footerReference w:type="default" r:id="rId6"/>
      <w:pgSz w:w="16838" w:h="11906" w:orient="landscape"/>
      <w:pgMar w:top="1134" w:right="567" w:bottom="567" w:left="851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D02" w:rsidRDefault="00385D02" w:rsidP="00481693">
      <w:pPr>
        <w:spacing w:after="0" w:line="240" w:lineRule="auto"/>
      </w:pPr>
      <w:r>
        <w:separator/>
      </w:r>
    </w:p>
  </w:endnote>
  <w:endnote w:type="continuationSeparator" w:id="0">
    <w:p w:rsidR="00385D02" w:rsidRDefault="00385D02" w:rsidP="0048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46542913"/>
      <w:docPartObj>
        <w:docPartGallery w:val="Page Numbers (Bottom of Page)"/>
        <w:docPartUnique/>
      </w:docPartObj>
    </w:sdtPr>
    <w:sdtContent>
      <w:p w:rsidR="00134DC0" w:rsidRPr="00481693" w:rsidRDefault="009F2E74">
        <w:pPr>
          <w:pStyle w:val="a5"/>
          <w:jc w:val="right"/>
          <w:rPr>
            <w:rFonts w:ascii="Times New Roman" w:hAnsi="Times New Roman" w:cs="Times New Roman"/>
          </w:rPr>
        </w:pPr>
        <w:r w:rsidRPr="00481693">
          <w:rPr>
            <w:rFonts w:ascii="Times New Roman" w:hAnsi="Times New Roman" w:cs="Times New Roman"/>
          </w:rPr>
          <w:fldChar w:fldCharType="begin"/>
        </w:r>
        <w:r w:rsidR="00134DC0" w:rsidRPr="00481693">
          <w:rPr>
            <w:rFonts w:ascii="Times New Roman" w:hAnsi="Times New Roman" w:cs="Times New Roman"/>
          </w:rPr>
          <w:instrText>PAGE   \* MERGEFORMAT</w:instrText>
        </w:r>
        <w:r w:rsidRPr="00481693">
          <w:rPr>
            <w:rFonts w:ascii="Times New Roman" w:hAnsi="Times New Roman" w:cs="Times New Roman"/>
          </w:rPr>
          <w:fldChar w:fldCharType="separate"/>
        </w:r>
        <w:r w:rsidR="005A4600" w:rsidRPr="005A4600">
          <w:rPr>
            <w:rFonts w:ascii="Times New Roman" w:hAnsi="Times New Roman" w:cs="Times New Roman"/>
            <w:noProof/>
            <w:lang w:val="ru-RU"/>
          </w:rPr>
          <w:t>1</w:t>
        </w:r>
        <w:r w:rsidRPr="0048169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D02" w:rsidRDefault="00385D02" w:rsidP="00481693">
      <w:pPr>
        <w:spacing w:after="0" w:line="240" w:lineRule="auto"/>
      </w:pPr>
      <w:r>
        <w:separator/>
      </w:r>
    </w:p>
  </w:footnote>
  <w:footnote w:type="continuationSeparator" w:id="0">
    <w:p w:rsidR="00385D02" w:rsidRDefault="00385D02" w:rsidP="00481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A3C"/>
    <w:rsid w:val="000B7A2F"/>
    <w:rsid w:val="000D0B0C"/>
    <w:rsid w:val="00134DC0"/>
    <w:rsid w:val="0016191B"/>
    <w:rsid w:val="00197588"/>
    <w:rsid w:val="002A42F3"/>
    <w:rsid w:val="00323AE6"/>
    <w:rsid w:val="0036077C"/>
    <w:rsid w:val="00385D02"/>
    <w:rsid w:val="003E1D4F"/>
    <w:rsid w:val="00400B47"/>
    <w:rsid w:val="00415B11"/>
    <w:rsid w:val="004303A3"/>
    <w:rsid w:val="0044235F"/>
    <w:rsid w:val="00481693"/>
    <w:rsid w:val="00501F7E"/>
    <w:rsid w:val="00564A3C"/>
    <w:rsid w:val="005A4600"/>
    <w:rsid w:val="005B519C"/>
    <w:rsid w:val="005E29D9"/>
    <w:rsid w:val="00742947"/>
    <w:rsid w:val="00793449"/>
    <w:rsid w:val="007A0649"/>
    <w:rsid w:val="00804B62"/>
    <w:rsid w:val="00893195"/>
    <w:rsid w:val="009F2E74"/>
    <w:rsid w:val="00A608B3"/>
    <w:rsid w:val="00A65CFE"/>
    <w:rsid w:val="00AF5738"/>
    <w:rsid w:val="00B13023"/>
    <w:rsid w:val="00B60579"/>
    <w:rsid w:val="00B605E9"/>
    <w:rsid w:val="00C26969"/>
    <w:rsid w:val="00D56D04"/>
    <w:rsid w:val="00D8539C"/>
    <w:rsid w:val="00DA1D0F"/>
    <w:rsid w:val="00E117CF"/>
    <w:rsid w:val="00E41818"/>
    <w:rsid w:val="00F8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3C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4A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4816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693"/>
    <w:rPr>
      <w:rFonts w:eastAsiaTheme="minorEastAsia"/>
      <w:lang w:eastAsia="uk-UA"/>
    </w:rPr>
  </w:style>
  <w:style w:type="paragraph" w:styleId="a5">
    <w:name w:val="footer"/>
    <w:basedOn w:val="a"/>
    <w:link w:val="a6"/>
    <w:uiPriority w:val="99"/>
    <w:unhideWhenUsed/>
    <w:rsid w:val="004816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693"/>
    <w:rPr>
      <w:rFonts w:eastAsiaTheme="minorEastAsia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DA1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0F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Атаманов</dc:creator>
  <cp:keywords/>
  <dc:description/>
  <cp:lastModifiedBy>Пользователь Windows</cp:lastModifiedBy>
  <cp:revision>13</cp:revision>
  <cp:lastPrinted>2023-03-20T08:30:00Z</cp:lastPrinted>
  <dcterms:created xsi:type="dcterms:W3CDTF">2023-03-20T06:53:00Z</dcterms:created>
  <dcterms:modified xsi:type="dcterms:W3CDTF">2023-03-26T19:56:00Z</dcterms:modified>
</cp:coreProperties>
</file>