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                       </w:t>
        <w:tab/>
        <w:t>Додаток 4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10"/>
        <w:jc w:val="center"/>
        <w:rPr>
          <w:rFonts w:ascii="Times New Roman" w:hAnsi="Times New Roman"/>
          <w:b/>
          <w:b/>
          <w:i/>
          <w:i/>
          <w:iCs/>
          <w:color w:val="0D0D0D"/>
          <w:sz w:val="24"/>
          <w:szCs w:val="24"/>
        </w:rPr>
      </w:pPr>
      <w:r>
        <w:rPr>
          <w:rFonts w:ascii="Times New Roman" w:hAnsi="Times New Roman"/>
          <w:b/>
          <w:i/>
          <w:iCs/>
          <w:color w:val="0D0D0D"/>
          <w:sz w:val="24"/>
          <w:szCs w:val="24"/>
        </w:rPr>
        <w:t xml:space="preserve">Підтвердження відповідності УЧАСНИКА  вимогам, </w:t>
      </w:r>
    </w:p>
    <w:p>
      <w:pPr>
        <w:pStyle w:val="Normal"/>
        <w:spacing w:lineRule="auto" w:line="240" w:before="0" w:after="0"/>
        <w:ind w:firstLine="510"/>
        <w:jc w:val="center"/>
        <w:rPr>
          <w:rFonts w:ascii="Times New Roman" w:hAnsi="Times New Roman"/>
          <w:b/>
          <w:b/>
          <w:i/>
          <w:i/>
          <w:iCs/>
          <w:color w:val="0D0D0D"/>
          <w:sz w:val="24"/>
          <w:szCs w:val="24"/>
        </w:rPr>
      </w:pPr>
      <w:r>
        <w:rPr>
          <w:rFonts w:ascii="Times New Roman" w:hAnsi="Times New Roman"/>
          <w:b/>
          <w:i/>
          <w:iCs/>
          <w:color w:val="0D0D0D"/>
          <w:sz w:val="24"/>
          <w:szCs w:val="24"/>
        </w:rPr>
        <w:t>визначеним у пункті 47  Особливостей</w:t>
      </w:r>
    </w:p>
    <w:p>
      <w:pPr>
        <w:pStyle w:val="Normal"/>
        <w:shd w:val="clear" w:color="auto" w:fill="FFFFFF"/>
        <w:spacing w:lineRule="auto" w:line="240" w:before="0" w:after="0"/>
        <w:ind w:firstLine="283"/>
        <w:jc w:val="both"/>
        <w:rPr>
          <w:rFonts w:ascii="Times New Roman" w:hAnsi="Times New Roman"/>
          <w:color w:val="0D0D0D"/>
          <w:sz w:val="24"/>
          <w:szCs w:val="24"/>
        </w:rPr>
      </w:pPr>
      <w:bookmarkStart w:id="0" w:name="n414"/>
      <w:bookmarkEnd w:id="0"/>
      <w:r>
        <w:rPr>
          <w:rFonts w:ascii="Times New Roman" w:hAnsi="Times New Roman"/>
          <w:color w:val="0D0D0D"/>
          <w:sz w:val="24"/>
          <w:szCs w:val="24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>
      <w:pPr>
        <w:pStyle w:val="Normal"/>
        <w:shd w:val="clear" w:color="auto" w:fill="FFFFFF"/>
        <w:tabs>
          <w:tab w:val="clear" w:pos="708"/>
          <w:tab w:val="left" w:pos="345" w:leader="none"/>
        </w:tabs>
        <w:spacing w:lineRule="auto" w:line="240" w:before="0" w:after="0"/>
        <w:ind w:firstLine="28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>
      <w:pPr>
        <w:pStyle w:val="Normal"/>
        <w:shd w:val="clear" w:color="auto" w:fill="FFFFFF"/>
        <w:spacing w:lineRule="auto" w:line="240" w:before="0" w:after="150"/>
        <w:ind w:firstLine="28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пункті 47 Особливостей (крім</w:t>
      </w:r>
      <w:r>
        <w:rPr>
          <w:rFonts w:ascii="Times New Roman" w:hAnsi="Times New Roman"/>
          <w:color w:val="0D0D0D"/>
          <w:sz w:val="24"/>
          <w:szCs w:val="24"/>
          <w:lang w:val="ru-RU"/>
        </w:rPr>
        <w:t> 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  <w:color w:val="0D0D0D"/>
        </w:rPr>
        <w:instrText> HYPERLINK "https://zakon.rada.gov.ua/laws/show/1178-2022-п" \l "n411"</w:instrText>
      </w:r>
      <w:r>
        <w:rPr>
          <w:sz w:val="24"/>
          <w:u w:val="single"/>
          <w:szCs w:val="24"/>
          <w:rFonts w:ascii="Times New Roman" w:hAnsi="Times New Roman"/>
          <w:color w:val="0D0D0D"/>
        </w:rPr>
        <w:fldChar w:fldCharType="separate"/>
      </w:r>
      <w:r>
        <w:rPr>
          <w:rFonts w:ascii="Times New Roman" w:hAnsi="Times New Roman"/>
          <w:color w:val="0D0D0D"/>
          <w:sz w:val="24"/>
          <w:szCs w:val="24"/>
          <w:u w:val="single"/>
        </w:rPr>
        <w:t>абзацу чотирнадцятого</w:t>
      </w:r>
      <w:r>
        <w:rPr>
          <w:sz w:val="24"/>
          <w:u w:val="single"/>
          <w:szCs w:val="24"/>
          <w:rFonts w:ascii="Times New Roman" w:hAnsi="Times New Roman"/>
          <w:color w:val="0D0D0D"/>
        </w:rPr>
        <w:fldChar w:fldCharType="end"/>
      </w:r>
      <w:r>
        <w:rPr>
          <w:rFonts w:ascii="Times New Roman" w:hAnsi="Times New Roman"/>
          <w:color w:val="0D0D0D"/>
          <w:sz w:val="24"/>
          <w:szCs w:val="24"/>
          <w:lang w:val="ru-RU"/>
        </w:rPr>
        <w:t> </w:t>
      </w:r>
      <w:r>
        <w:rPr>
          <w:rFonts w:ascii="Times New Roman" w:hAnsi="Times New Roman"/>
          <w:color w:val="0D0D0D"/>
          <w:sz w:val="24"/>
          <w:szCs w:val="24"/>
        </w:rPr>
        <w:t>цього пункту), крім самостійного декларування відсутності таких підстав учасником процедури закупівлі відповідно до</w:t>
      </w:r>
      <w:r>
        <w:rPr>
          <w:rFonts w:ascii="Times New Roman" w:hAnsi="Times New Roman"/>
          <w:color w:val="0D0D0D"/>
          <w:sz w:val="24"/>
          <w:szCs w:val="24"/>
          <w:lang w:val="ru-RU"/>
        </w:rPr>
        <w:t> 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  <w:color w:val="0D0D0D"/>
        </w:rPr>
        <w:instrText> HYPERLINK "https://zakon.rada.gov.ua/laws/show/1178-2022-п" \l "n413"</w:instrText>
      </w:r>
      <w:r>
        <w:rPr>
          <w:sz w:val="24"/>
          <w:u w:val="single"/>
          <w:szCs w:val="24"/>
          <w:rFonts w:ascii="Times New Roman" w:hAnsi="Times New Roman"/>
          <w:color w:val="0D0D0D"/>
        </w:rPr>
        <w:fldChar w:fldCharType="separate"/>
      </w:r>
      <w:r>
        <w:rPr>
          <w:rFonts w:ascii="Times New Roman" w:hAnsi="Times New Roman"/>
          <w:color w:val="0D0D0D"/>
          <w:sz w:val="24"/>
          <w:szCs w:val="24"/>
          <w:u w:val="single"/>
        </w:rPr>
        <w:t>абзацу шістнадцятого</w:t>
      </w:r>
      <w:r>
        <w:rPr>
          <w:sz w:val="24"/>
          <w:u w:val="single"/>
          <w:szCs w:val="24"/>
          <w:rFonts w:ascii="Times New Roman" w:hAnsi="Times New Roman"/>
          <w:color w:val="0D0D0D"/>
        </w:rPr>
        <w:fldChar w:fldCharType="end"/>
      </w:r>
      <w:r>
        <w:rPr>
          <w:rFonts w:ascii="Times New Roman" w:hAnsi="Times New Roman"/>
          <w:color w:val="0D0D0D"/>
          <w:sz w:val="24"/>
          <w:szCs w:val="24"/>
          <w:lang w:val="ru-RU"/>
        </w:rPr>
        <w:t> </w:t>
      </w:r>
      <w:r>
        <w:rPr>
          <w:rFonts w:ascii="Times New Roman" w:hAnsi="Times New Roman"/>
          <w:color w:val="0D0D0D"/>
          <w:sz w:val="24"/>
          <w:szCs w:val="24"/>
        </w:rPr>
        <w:t>пункту 47 Особливостей.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iCs/>
          <w:color w:val="0D0D0D"/>
          <w:sz w:val="24"/>
          <w:szCs w:val="24"/>
        </w:rPr>
      </w:pPr>
      <w:r>
        <w:rPr>
          <w:rFonts w:eastAsia="Times New Roman" w:ascii="Times New Roman" w:hAnsi="Times New Roman"/>
          <w:b/>
          <w:color w:val="0D0D0D"/>
          <w:sz w:val="24"/>
          <w:szCs w:val="24"/>
          <w:lang w:eastAsia="uk-UA"/>
        </w:rPr>
        <w:t>Перелік документів та інформації</w:t>
      </w:r>
      <w:r>
        <w:rPr>
          <w:rFonts w:eastAsia="Times New Roman" w:ascii="Times New Roman" w:hAnsi="Times New Roman"/>
          <w:b/>
          <w:color w:val="0D0D0D"/>
          <w:sz w:val="24"/>
          <w:szCs w:val="24"/>
          <w:lang w:val="ru-RU" w:eastAsia="uk-UA"/>
        </w:rPr>
        <w:t> </w:t>
      </w:r>
      <w:r>
        <w:rPr>
          <w:rFonts w:eastAsia="Times New Roman" w:ascii="Times New Roman" w:hAnsi="Times New Roman"/>
          <w:b/>
          <w:color w:val="0D0D0D"/>
          <w:sz w:val="24"/>
          <w:szCs w:val="24"/>
          <w:lang w:eastAsia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iCs/>
          <w:color w:val="0D0D0D"/>
          <w:sz w:val="24"/>
          <w:szCs w:val="24"/>
        </w:rPr>
      </w:pPr>
      <w:r>
        <w:rPr>
          <w:rFonts w:eastAsia="Times New Roman" w:ascii="Times New Roman" w:hAnsi="Times New Roman"/>
          <w:b/>
          <w:color w:val="0D0D0D"/>
          <w:sz w:val="24"/>
          <w:szCs w:val="24"/>
          <w:lang w:eastAsia="uk-UA"/>
        </w:rPr>
        <w:t xml:space="preserve">для підтвердження відповідності ПЕРЕМОЖЦЯ вимогам,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iCs/>
          <w:color w:val="0D0D0D"/>
          <w:sz w:val="24"/>
          <w:szCs w:val="24"/>
        </w:rPr>
      </w:pPr>
      <w:r>
        <w:rPr>
          <w:rFonts w:eastAsia="Times New Roman" w:ascii="Times New Roman" w:hAnsi="Times New Roman"/>
          <w:b/>
          <w:color w:val="0D0D0D"/>
          <w:sz w:val="24"/>
          <w:szCs w:val="24"/>
          <w:lang w:eastAsia="uk-UA"/>
        </w:rPr>
        <w:t>визначеним у пун</w:t>
      </w:r>
      <w:r>
        <w:rPr>
          <w:rFonts w:eastAsia="Times New Roman" w:ascii="Times New Roman" w:hAnsi="Times New Roman"/>
          <w:b/>
          <w:color w:val="0D0D0D"/>
          <w:sz w:val="24"/>
          <w:szCs w:val="24"/>
          <w:highlight w:val="white"/>
          <w:lang w:eastAsia="uk-UA"/>
        </w:rPr>
        <w:t xml:space="preserve">кті </w:t>
      </w:r>
      <w:r>
        <w:rPr>
          <w:rFonts w:eastAsia="Times New Roman" w:ascii="Times New Roman" w:hAnsi="Times New Roman"/>
          <w:color w:val="0D0D0D"/>
          <w:sz w:val="24"/>
          <w:szCs w:val="24"/>
          <w:highlight w:val="white"/>
          <w:lang w:eastAsia="uk-UA"/>
        </w:rPr>
        <w:t>47</w:t>
      </w:r>
      <w:r>
        <w:rPr>
          <w:rFonts w:eastAsia="Times New Roman" w:ascii="Times New Roman" w:hAnsi="Times New Roman"/>
          <w:b/>
          <w:color w:val="0D0D0D"/>
          <w:sz w:val="24"/>
          <w:szCs w:val="24"/>
          <w:highlight w:val="white"/>
          <w:lang w:eastAsia="uk-UA"/>
        </w:rPr>
        <w:t xml:space="preserve"> Особливостей: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color w:val="0D0D0D"/>
          <w:sz w:val="24"/>
          <w:szCs w:val="24"/>
          <w:highlight w:val="white"/>
          <w:lang w:eastAsia="uk-UA"/>
        </w:rPr>
      </w:pPr>
      <w:r>
        <w:rPr>
          <w:rFonts w:eastAsia="Times New Roman" w:ascii="Times New Roman" w:hAnsi="Times New Roman"/>
          <w:color w:val="0D0D0D"/>
          <w:sz w:val="24"/>
          <w:szCs w:val="24"/>
          <w:highlight w:val="white"/>
          <w:lang w:eastAsia="uk-UA"/>
        </w:rPr>
        <w:t xml:space="preserve">Переможець процедури закупівлі у строк, що </w:t>
      </w:r>
      <w:r>
        <w:rPr>
          <w:rFonts w:eastAsia="Times New Roman" w:ascii="Times New Roman" w:hAnsi="Times New Roman"/>
          <w:b/>
          <w:i/>
          <w:color w:val="0D0D0D"/>
          <w:sz w:val="24"/>
          <w:szCs w:val="24"/>
          <w:highlight w:val="white"/>
          <w:lang w:eastAsia="uk-UA"/>
        </w:rPr>
        <w:t xml:space="preserve">не перевищує чотири дні </w:t>
      </w:r>
      <w:r>
        <w:rPr>
          <w:rFonts w:eastAsia="Times New Roman" w:ascii="Times New Roman" w:hAnsi="Times New Roman"/>
          <w:color w:val="0D0D0D"/>
          <w:sz w:val="24"/>
          <w:szCs w:val="24"/>
          <w:highlight w:val="white"/>
          <w:lang w:eastAsia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color w:val="0D0D0D"/>
          <w:sz w:val="24"/>
          <w:szCs w:val="24"/>
          <w:highlight w:val="white"/>
          <w:lang w:val="ru-RU" w:eastAsia="uk-UA"/>
        </w:rPr>
      </w:pPr>
      <w:r>
        <w:rPr>
          <w:rFonts w:eastAsia="Times New Roman" w:ascii="Times New Roman" w:hAnsi="Times New Roman"/>
          <w:color w:val="0D0D0D"/>
          <w:sz w:val="24"/>
          <w:szCs w:val="24"/>
          <w:highlight w:val="white"/>
          <w:lang w:val="ru-RU" w:eastAsia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D0D0D"/>
          <w:sz w:val="24"/>
          <w:szCs w:val="24"/>
        </w:rPr>
        <w:t>Документи, які надаються  ПЕРЕМОЖЦЕМ (юридичною особою)</w:t>
      </w:r>
    </w:p>
    <w:tbl>
      <w:tblPr>
        <w:tblStyle w:val="3"/>
        <w:tblW w:w="9360" w:type="dxa"/>
        <w:jc w:val="left"/>
        <w:tblInd w:w="6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02"/>
        <w:gridCol w:w="4548"/>
        <w:gridCol w:w="4110"/>
      </w:tblGrid>
      <w:tr>
        <w:trPr>
          <w:trHeight w:val="930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42" w:hanging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2" w:hanging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п/п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42" w:hanging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Вимоги пункту 47 Особливостей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2" w:hanging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42" w:hanging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Переможець торгів на виконання вимоги пункту 47 Особливостей (підтвердження відсутності підстав) повинен надати таку інформацію:</w:t>
            </w:r>
          </w:p>
        </w:tc>
      </w:tr>
      <w:tr>
        <w:trPr>
          <w:trHeight w:val="743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</w:rPr>
              <w:t>керівника учасника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(підпункт 3, пункту 47 Особливостей)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>
        <w:trPr>
          <w:trHeight w:val="2255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5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  <w:lang w:val="ru-RU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(підпункт 6, пункту 47 Особливостей)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</w:tc>
      </w:tr>
      <w:tr>
        <w:trPr>
          <w:trHeight w:val="436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</w:rPr>
              <w:t>керівника учасника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людьми.;</w:t>
            </w: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 xml:space="preserve"> (підпункт 12, пункту 47 Особливостей)</w:t>
            </w:r>
          </w:p>
        </w:tc>
        <w:tc>
          <w:tcPr>
            <w:tcW w:w="41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40" w:after="0"/>
        <w:jc w:val="center"/>
        <w:rPr>
          <w:rFonts w:ascii="Times New Roman" w:hAnsi="Times New Roman"/>
          <w:b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Документи, які надаються ПЕРЕМОЖЦЕМ (фізичною особою)</w:t>
      </w:r>
    </w:p>
    <w:tbl>
      <w:tblPr>
        <w:tblStyle w:val="3"/>
        <w:tblW w:w="9405" w:type="dxa"/>
        <w:jc w:val="left"/>
        <w:tblInd w:w="-1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60"/>
        <w:gridCol w:w="4678"/>
        <w:gridCol w:w="4067"/>
      </w:tblGrid>
      <w:tr>
        <w:trPr>
          <w:trHeight w:val="825" w:hRule="atLeas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Вимоги пункту 47 Особливостей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Переможець торгів на виконання вимоги пункту 47 Особливостей (підтвердження відсутності підстав) повинен надати таку інформацію:</w:t>
            </w:r>
          </w:p>
        </w:tc>
      </w:tr>
      <w:tr>
        <w:trPr>
          <w:trHeight w:val="1723" w:hRule="atLeas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</w:rPr>
              <w:t>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(підпункт 3, пункту 47 Особливостей)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>
        <w:trPr>
          <w:trHeight w:val="1156" w:hRule="atLeas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5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  <w:lang w:val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(підпункт 5, пункту 47 Особливостей)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</w:tc>
      </w:tr>
      <w:tr>
        <w:trPr>
          <w:trHeight w:val="4071" w:hRule="atLeas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</w:rPr>
              <w:t>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(підпункт 12, пункту 47 Особливостей)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D0D0D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No Spacing" w:uiPriority="1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uiPriority w:val="99"/>
    <w:semiHidden/>
    <w:unhideWhenUsed/>
    <w:rPr>
      <w:rFonts w:ascii="Times New Roman" w:hAnsi="Times New Roman" w:cs="Times New Roman"/>
      <w:color w:val="0000FF"/>
      <w:u w:val="single"/>
    </w:rPr>
  </w:style>
  <w:style w:type="character" w:styleId="Style15" w:customStyle="1">
    <w:name w:val="Без интервала Знак"/>
    <w:uiPriority w:val="1"/>
    <w:qFormat/>
    <w:rPr>
      <w:rFonts w:ascii="Calibri" w:hAnsi="Calibri" w:cs="Calibri"/>
    </w:rPr>
  </w:style>
  <w:style w:type="character" w:styleId="Style16" w:customStyle="1">
    <w:name w:val="Символ нумерації"/>
    <w:uiPriority w:val="0"/>
    <w:qFormat/>
    <w:rPr/>
  </w:style>
  <w:style w:type="paragraph" w:styleId="Style17" w:customStyle="1">
    <w:name w:val="Заголовок"/>
    <w:basedOn w:val="Normal"/>
    <w:next w:val="Style18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uiPriority w:val="0"/>
    <w:pPr>
      <w:spacing w:before="0" w:after="140"/>
    </w:pPr>
    <w:rPr/>
  </w:style>
  <w:style w:type="paragraph" w:styleId="Style19">
    <w:name w:val="List"/>
    <w:basedOn w:val="Style18"/>
    <w:uiPriority w:val="0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vps2" w:customStyle="1">
    <w:name w:val="rvps2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LibreOffice/7.0.3.1$Windows_X86_64 LibreOffice_project/d7547858d014d4cf69878db179d326fc3483e082</Application>
  <Pages>3</Pages>
  <Words>737</Words>
  <Characters>5225</Characters>
  <CharactersWithSpaces>5970</CharactersWithSpaces>
  <Paragraphs>43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2023-05-29T21:09:00Z</dcterms:created>
  <dc:creator>Женя</dc:creator>
  <dc:description/>
  <dc:language>uk-UA</dc:language>
  <cp:lastModifiedBy/>
  <cp:lastPrinted>2023-10-02T15:04:00Z</cp:lastPrinted>
  <dcterms:modified xsi:type="dcterms:W3CDTF">2024-03-22T12:19:05Z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B9893FEAFB674E118A606BEDEFDAF24F_12</vt:lpwstr>
  </property>
  <property fmtid="{D5CDD505-2E9C-101B-9397-08002B2CF9AE}" pid="7" name="KSOProductBuildVer">
    <vt:lpwstr>1049-12.2.0.13416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