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F0" w:rsidRPr="0034616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4616C">
        <w:rPr>
          <w:rFonts w:ascii="Times New Roman" w:hAnsi="Times New Roman"/>
          <w:b/>
          <w:bCs/>
          <w:sz w:val="24"/>
          <w:szCs w:val="24"/>
        </w:rPr>
        <w:t xml:space="preserve">ДОДАТОК 1 </w:t>
      </w:r>
    </w:p>
    <w:p w:rsidR="008526F0" w:rsidRPr="0034616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616C">
        <w:rPr>
          <w:rFonts w:ascii="Times New Roman" w:hAnsi="Times New Roman"/>
          <w:b/>
          <w:bCs/>
          <w:color w:val="000000"/>
          <w:sz w:val="24"/>
          <w:szCs w:val="24"/>
        </w:rPr>
        <w:t>до оголошення про</w:t>
      </w:r>
    </w:p>
    <w:p w:rsidR="008526F0" w:rsidRPr="0034616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616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проведення спрощеної закупівлі</w:t>
      </w:r>
    </w:p>
    <w:p w:rsidR="008526F0" w:rsidRPr="0034616C" w:rsidRDefault="008526F0" w:rsidP="008526F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526F0" w:rsidRPr="0034616C" w:rsidRDefault="008526F0" w:rsidP="008526F0">
      <w:pPr>
        <w:suppressAutoHyphens/>
        <w:spacing w:after="0" w:line="240" w:lineRule="auto"/>
        <w:ind w:right="196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</w:pPr>
      <w:r w:rsidRPr="0034616C"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  <w:t xml:space="preserve">ТЕХНІЧНЕ ЗАВДАННЯ </w:t>
      </w:r>
    </w:p>
    <w:p w:rsidR="00ED3FBB" w:rsidRPr="0034616C" w:rsidRDefault="008526F0" w:rsidP="008526F0">
      <w:pPr>
        <w:suppressAutoHyphens/>
        <w:spacing w:after="0" w:line="240" w:lineRule="auto"/>
        <w:ind w:right="196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</w:pPr>
      <w:r w:rsidRPr="0034616C"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  <w:t xml:space="preserve">(інформація про необхідні технічні, якісні </w:t>
      </w:r>
    </w:p>
    <w:p w:rsidR="008526F0" w:rsidRPr="0034616C" w:rsidRDefault="008526F0" w:rsidP="008526F0">
      <w:pPr>
        <w:suppressAutoHyphens/>
        <w:spacing w:after="0" w:line="240" w:lineRule="auto"/>
        <w:ind w:right="196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</w:pPr>
      <w:r w:rsidRPr="0034616C"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  <w:t>та кількісні характеристики предмета закупівлі)</w:t>
      </w:r>
      <w:r w:rsidRPr="0034616C">
        <w:rPr>
          <w:rFonts w:ascii="Times New Roman" w:eastAsia="Arial" w:hAnsi="Times New Roman"/>
          <w:b/>
          <w:bCs/>
          <w:color w:val="000000"/>
          <w:sz w:val="24"/>
          <w:vertAlign w:val="superscript"/>
          <w:lang w:eastAsia="zh-CN"/>
        </w:rPr>
        <w:footnoteReference w:id="1"/>
      </w:r>
    </w:p>
    <w:p w:rsidR="008526F0" w:rsidRPr="0034616C" w:rsidRDefault="008526F0" w:rsidP="008526F0">
      <w:pPr>
        <w:suppressAutoHyphens/>
        <w:spacing w:after="0" w:line="240" w:lineRule="auto"/>
        <w:ind w:right="196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  <w:lang w:eastAsia="zh-CN"/>
        </w:rPr>
      </w:pPr>
    </w:p>
    <w:p w:rsidR="002832AF" w:rsidRPr="0034616C" w:rsidRDefault="008526F0" w:rsidP="002832AF">
      <w:pPr>
        <w:spacing w:after="0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34616C">
        <w:rPr>
          <w:rFonts w:ascii="Times New Roman" w:hAnsi="Times New Roman"/>
          <w:b/>
          <w:sz w:val="24"/>
          <w:szCs w:val="24"/>
        </w:rPr>
        <w:t>Предм</w:t>
      </w:r>
      <w:r w:rsidR="002832AF" w:rsidRPr="0034616C">
        <w:rPr>
          <w:rFonts w:ascii="Times New Roman" w:hAnsi="Times New Roman"/>
          <w:b/>
          <w:sz w:val="24"/>
          <w:szCs w:val="24"/>
        </w:rPr>
        <w:t>ет закупівлі:</w:t>
      </w:r>
    </w:p>
    <w:p w:rsidR="002832AF" w:rsidRPr="0034616C" w:rsidRDefault="002832AF" w:rsidP="002832A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2AF" w:rsidRPr="00CB630F" w:rsidRDefault="00CB630F" w:rsidP="002832A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>45260000-7 - Покрівельні роботи та інші спеціалізовані будівельні роботи Капітальний ремонт (розбурювання) свердловин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>5, 8</w:t>
      </w:r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>Домантівського</w:t>
      </w:r>
      <w:proofErr w:type="spellEnd"/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 xml:space="preserve"> водозабору </w:t>
      </w:r>
      <w:proofErr w:type="spellStart"/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>Золотоніського</w:t>
      </w:r>
      <w:proofErr w:type="spellEnd"/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 xml:space="preserve"> району, що належить КП "Міський </w:t>
      </w:r>
      <w:proofErr w:type="spellStart"/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>водоконал</w:t>
      </w:r>
      <w:proofErr w:type="spellEnd"/>
      <w:r w:rsidRPr="00CB630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>"</w:t>
      </w:r>
      <w:r w:rsidR="005E262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0F5F2"/>
        </w:rPr>
        <w:t xml:space="preserve"> /коригування/.</w:t>
      </w:r>
    </w:p>
    <w:p w:rsidR="002832AF" w:rsidRPr="00CB630F" w:rsidRDefault="002832AF" w:rsidP="0028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093"/>
        <w:gridCol w:w="990"/>
        <w:gridCol w:w="982"/>
      </w:tblGrid>
      <w:tr w:rsidR="002832AF" w:rsidRPr="0034616C" w:rsidTr="002832AF">
        <w:trPr>
          <w:trHeight w:val="542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2832AF">
            <w:pPr>
              <w:spacing w:after="0" w:line="273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667475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="00667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2832AF">
            <w:pPr>
              <w:spacing w:after="0" w:line="273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Од. </w:t>
            </w:r>
            <w:proofErr w:type="spellStart"/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2832A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Кіл-сть</w:t>
            </w:r>
            <w:proofErr w:type="spellEnd"/>
          </w:p>
        </w:tc>
      </w:tr>
      <w:tr w:rsidR="002832AF" w:rsidRPr="0034616C" w:rsidTr="002832AF">
        <w:trPr>
          <w:trHeight w:val="27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2832AF">
            <w:pPr>
              <w:spacing w:after="0" w:line="273" w:lineRule="auto"/>
              <w:ind w:left="-93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B25F70" w:rsidRDefault="00B25F70" w:rsidP="00283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5F70">
              <w:t xml:space="preserve">Капітальний ремонт (розбурювання) свердловин №5, 8 </w:t>
            </w:r>
            <w:proofErr w:type="spellStart"/>
            <w:r w:rsidRPr="00B25F70">
              <w:t>Домантівського</w:t>
            </w:r>
            <w:proofErr w:type="spellEnd"/>
            <w:r w:rsidRPr="00B25F70">
              <w:t xml:space="preserve"> водозабору </w:t>
            </w:r>
            <w:proofErr w:type="spellStart"/>
            <w:r w:rsidRPr="00B25F70">
              <w:t>Золотоніського</w:t>
            </w:r>
            <w:proofErr w:type="spellEnd"/>
            <w:r w:rsidRPr="00B25F70">
              <w:t xml:space="preserve"> району, що належить КП «Міський водоканал»</w:t>
            </w:r>
            <w:r w:rsidR="005E2620">
              <w:t xml:space="preserve"> /коригування/.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CB630F" w:rsidRDefault="00CB630F" w:rsidP="00CB630F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2832A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832AF" w:rsidRPr="0034616C" w:rsidTr="002832AF">
        <w:trPr>
          <w:trHeight w:val="278"/>
          <w:tblCellSpacing w:w="0" w:type="dxa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2832A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2AF" w:rsidRPr="0034616C" w:rsidRDefault="002832AF" w:rsidP="002832AF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832AF" w:rsidRPr="0034616C" w:rsidRDefault="002832AF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61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800D1B" w:rsidRDefault="00800D1B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Розбурювання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свердловин</w:t>
      </w:r>
      <w:proofErr w:type="spellEnd"/>
      <w:r w:rsidR="00BA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№5, №8 </w:t>
      </w:r>
      <w:proofErr w:type="spellStart"/>
      <w:r w:rsidR="00BA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обсяг</w:t>
      </w:r>
      <w:proofErr w:type="spellEnd"/>
      <w:r w:rsidR="00BA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A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робіт</w:t>
      </w:r>
      <w:proofErr w:type="spellEnd"/>
      <w:r w:rsidR="00BA4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182"/>
        <w:gridCol w:w="1189"/>
        <w:gridCol w:w="1418"/>
      </w:tblGrid>
      <w:tr w:rsidR="00800D1B" w:rsidRPr="00800D1B" w:rsidTr="00800D1B">
        <w:trPr>
          <w:jc w:val="center"/>
        </w:trPr>
        <w:tc>
          <w:tcPr>
            <w:tcW w:w="567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№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Ч.ч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82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Найменування робіт і витрат</w:t>
            </w:r>
          </w:p>
        </w:tc>
        <w:tc>
          <w:tcPr>
            <w:tcW w:w="1189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Одиниця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виміру</w:t>
            </w:r>
          </w:p>
        </w:tc>
        <w:tc>
          <w:tcPr>
            <w:tcW w:w="1418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 Кількість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2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9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4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Роторне буріння свердловин із прямою промивкою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установками з дизельним двигуном глибиною буріння до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50 м у ґрунтах групи 2 /застосування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долiт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дiаметром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до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300мм/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60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Кріплення свердловин, при роторному бурінні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установками і агрегатами на базі автомобілів, трубами зі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зварним з'єднанням, глибина свердловини до 50 м,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група ґрунтів за стійкістю 2 /трубами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iз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зовнiшнiм</w:t>
            </w:r>
            <w:proofErr w:type="spellEnd"/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дiаметром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до 201-301 мм/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42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Установлення фільтра на колоні водопідіймальних труб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при роторному бурінні при глибині свердловин до 500 м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м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тpуб</w:t>
            </w:r>
            <w:proofErr w:type="spellEnd"/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18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Виготовлення фільтра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0,8958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Засипка піску в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міжтрубний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простір, спосіб буріння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обертальний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9,78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Відкачування води із свердловини ерліфтом із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застосуванням комплекту обладнання роторного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буріння з компресором, що працює від двигуна</w:t>
            </w:r>
          </w:p>
          <w:p w:rsidR="00800D1B" w:rsidRPr="00800D1B" w:rsidRDefault="00800D1B" w:rsidP="00C74AC3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внутрішнього згоряння, при глибині свердловини до 300м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доба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6182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Улаштування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>відстійника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val="en-US" w:eastAsia="en-US"/>
              </w:rPr>
              <w:t xml:space="preserve"> 5х5х2м</w:t>
            </w:r>
          </w:p>
        </w:tc>
        <w:tc>
          <w:tcPr>
            <w:tcW w:w="1189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z w:val="16"/>
                <w:szCs w:val="16"/>
                <w:lang w:val="ru-RU" w:eastAsia="en-US"/>
              </w:rPr>
              <w:t xml:space="preserve"> 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Розробка ґрунту екскаватором з доробкою вручну, група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ґрунту 2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100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Засипка траншей і котлованів бульдозерами потужністю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59 кВт [80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к.с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.] з переміщенням ґрунту до 5 м, група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ґрунтів 1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100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Розробка ґрунту екскаватором з доробкою вручну, група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ґрунту 2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20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Засипання вручну траншей, пазух котлованів та ям,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група ґрунту 1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14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Улаштування колодязів круглих водопровідних із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збірного залізобетону в сухих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грунтах</w:t>
            </w:r>
            <w:proofErr w:type="spellEnd"/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2,208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Планування площ ручним способом, група ґрунту 1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м2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4,8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Монтаж насоса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артезiанського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iз</w:t>
            </w:r>
            <w:proofErr w:type="spellEnd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 xml:space="preserve"> заглибним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lastRenderedPageBreak/>
              <w:t>електродвигуном, марка 1ЕЦВ8-25-70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Установлення фланцевих вентилів, засувок, затворів,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клапанів зворотних, кранів прохідних на трубопроводах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із сталевих труб діаметром понад 50 до 100 мм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6182" w:type="dxa"/>
          </w:tcPr>
          <w:p w:rsid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Приварювання фланців діаметром 50 мм до сталевих</w:t>
            </w:r>
          </w:p>
          <w:p w:rsid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трубопроводів</w:t>
            </w:r>
          </w:p>
        </w:tc>
        <w:tc>
          <w:tcPr>
            <w:tcW w:w="1189" w:type="dxa"/>
          </w:tcPr>
          <w:p w:rsid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800D1B" w:rsidRPr="00800D1B" w:rsidTr="00800D1B">
        <w:trPr>
          <w:jc w:val="center"/>
        </w:trPr>
        <w:tc>
          <w:tcPr>
            <w:tcW w:w="567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82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Установлення манометрів з триходовим краном і</w:t>
            </w:r>
          </w:p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трубкою-сифоном</w:t>
            </w:r>
          </w:p>
        </w:tc>
        <w:tc>
          <w:tcPr>
            <w:tcW w:w="1189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418" w:type="dxa"/>
          </w:tcPr>
          <w:p w:rsidR="00800D1B" w:rsidRPr="00800D1B" w:rsidRDefault="00800D1B" w:rsidP="00800D1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US"/>
              </w:rPr>
            </w:pPr>
            <w:r w:rsidRPr="00800D1B">
              <w:rPr>
                <w:rFonts w:ascii="Arial" w:eastAsia="Times New Roman" w:hAnsi="Arial" w:cs="Arial"/>
                <w:spacing w:val="-3"/>
                <w:sz w:val="20"/>
                <w:szCs w:val="20"/>
                <w:lang w:eastAsia="en-US"/>
              </w:rPr>
              <w:t>2</w:t>
            </w:r>
          </w:p>
        </w:tc>
      </w:tr>
    </w:tbl>
    <w:p w:rsidR="00800D1B" w:rsidRDefault="00BA4A8D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BA4A8D" w:rsidRDefault="00BA4A8D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BA4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с.Домантове</w:t>
      </w:r>
      <w:proofErr w:type="spellEnd"/>
      <w:r w:rsidRPr="00BA4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A4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Золотоніський</w:t>
      </w:r>
      <w:proofErr w:type="spellEnd"/>
      <w:r w:rsidRPr="00BA4A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Черкаська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область</w:t>
      </w:r>
    </w:p>
    <w:p w:rsidR="002832AF" w:rsidRPr="0034616C" w:rsidRDefault="00D17AEB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Вид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будівництва</w:t>
      </w:r>
      <w:proofErr w:type="spellEnd"/>
      <w:r w:rsidR="002832AF" w:rsidRPr="003461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  <w:r w:rsidR="000060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ru-RU" w:eastAsia="ru-RU"/>
        </w:rPr>
        <w:t>Капітальний</w:t>
      </w:r>
      <w:proofErr w:type="spellEnd"/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ремонт</w:t>
      </w:r>
    </w:p>
    <w:p w:rsidR="00D17AEB" w:rsidRPr="0000608C" w:rsidRDefault="00D17AEB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  <w:r w:rsidR="00006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конструкцію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свердловин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№5 та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потужністю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960,куб.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17AEB" w:rsidRPr="005B6974" w:rsidRDefault="00D17AEB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Передбачити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D17AEB" w:rsidRDefault="00D17AEB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існуючого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насосного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17AEB" w:rsidRDefault="00D17AEB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фільтра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17AEB" w:rsidRDefault="00D17AEB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цегляних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колодязів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насосної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з.б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B6974" w:rsidRDefault="005B6974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Вимоги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щодо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розроблення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розділу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Оцінка</w:t>
      </w:r>
      <w:proofErr w:type="spellEnd"/>
      <w:r w:rsidR="00A91E7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впливів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на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навколишнє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середовище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ДБН А.2.2-1-2003.</w:t>
      </w:r>
    </w:p>
    <w:p w:rsidR="005B6974" w:rsidRDefault="005B6974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Визначення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класу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наслідків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відповідальності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категорії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складності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установленого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строку </w:t>
      </w:r>
      <w:proofErr w:type="spellStart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експлуатацяї</w:t>
      </w:r>
      <w:proofErr w:type="spellEnd"/>
      <w:r w:rsidRPr="005B697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СС1</w:t>
      </w:r>
    </w:p>
    <w:p w:rsidR="002832AF" w:rsidRPr="005B6974" w:rsidRDefault="002832AF" w:rsidP="005B6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B6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Загальні</w:t>
      </w:r>
      <w:proofErr w:type="spellEnd"/>
      <w:r w:rsidRPr="005B6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B6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вимоги</w:t>
      </w:r>
      <w:proofErr w:type="spellEnd"/>
      <w:r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2832AF" w:rsidRPr="005B6974" w:rsidRDefault="005B6974" w:rsidP="005B6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Гарантійний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менш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12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місяців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832AF" w:rsidRPr="005B6974" w:rsidRDefault="005B6974" w:rsidP="005B6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м. Золотоноша</w:t>
      </w:r>
      <w:r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832AF" w:rsidRPr="005B6974" w:rsidRDefault="005B6974" w:rsidP="005B6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486B72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 метою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якісного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розрахунку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цінової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спільно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здійснює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огляд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об’єкту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 де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передбачається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86B72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проектної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тендерної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про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даного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огляду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складається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огляду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об’єкту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який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підписується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подається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складі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тендерної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Огляд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об’єкта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перед подачею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тендерної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пропозиції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обов’язковим</w:t>
      </w:r>
      <w:proofErr w:type="spellEnd"/>
      <w:r w:rsidR="002832AF" w:rsidRPr="009552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2832AF" w:rsidRPr="005B6974" w:rsidRDefault="00C74AC3" w:rsidP="005B6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Монтаж та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пуско-налагодження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проводиться силами та </w:t>
      </w:r>
      <w:proofErr w:type="spell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засобами</w:t>
      </w:r>
      <w:proofErr w:type="spell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 w:rsidR="00F025D9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="002832AF" w:rsidRPr="005B69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2832AF" w:rsidRPr="0036408F" w:rsidRDefault="00C74AC3" w:rsidP="005B6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Умови</w:t>
      </w:r>
      <w:proofErr w:type="spellEnd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поставки: </w:t>
      </w:r>
      <w:proofErr w:type="spellStart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транспортні</w:t>
      </w:r>
      <w:proofErr w:type="spellEnd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включені</w:t>
      </w:r>
      <w:proofErr w:type="spellEnd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вартість</w:t>
      </w:r>
      <w:proofErr w:type="spellEnd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6042C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2832AF" w:rsidRPr="0036408F" w:rsidRDefault="00486B72" w:rsidP="005B69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Строк </w:t>
      </w:r>
      <w:proofErr w:type="spellStart"/>
      <w:r w:rsidR="0036408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="0036408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36408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="002832AF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 </w:t>
      </w:r>
      <w:r w:rsidR="00A11E17" w:rsidRPr="0036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до </w:t>
      </w:r>
      <w:r w:rsidR="00A91E76" w:rsidRPr="0036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31</w:t>
      </w:r>
      <w:r w:rsidR="00667475" w:rsidRPr="0036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="00A91E76" w:rsidRPr="0036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12</w:t>
      </w:r>
      <w:r w:rsidR="00A11E17" w:rsidRPr="0036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.202</w:t>
      </w:r>
      <w:r w:rsidR="005B6974" w:rsidRPr="0036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</w:t>
      </w:r>
      <w:r w:rsidR="00A11E17" w:rsidRPr="0036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року</w:t>
      </w:r>
      <w:r w:rsidR="00A11E17"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4616C" w:rsidRPr="0036408F" w:rsidRDefault="0034616C" w:rsidP="002832AF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4616C" w:rsidRPr="0036408F" w:rsidRDefault="0034616C" w:rsidP="0034616C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6408F">
        <w:rPr>
          <w:rFonts w:ascii="Times New Roman" w:eastAsia="Times New Roman" w:hAnsi="Times New Roman" w:cs="Times New Roman"/>
          <w:i/>
          <w:iCs/>
          <w:sz w:val="20"/>
          <w:szCs w:val="20"/>
        </w:rPr>
        <w:t>*</w:t>
      </w:r>
      <w:r w:rsidRPr="0036408F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="00874815" w:rsidRPr="0036408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6408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разі, </w:t>
      </w:r>
      <w:r w:rsidRPr="0036408F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у технічному  </w:t>
      </w:r>
      <w:r w:rsidRPr="003640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завданні  </w:t>
      </w:r>
      <w:r w:rsidRPr="0036408F">
        <w:rPr>
          <w:rFonts w:ascii="Times New Roman" w:eastAsia="Times New Roman" w:hAnsi="Times New Roman" w:cs="Times New Roman"/>
          <w:i/>
          <w:sz w:val="20"/>
          <w:szCs w:val="20"/>
        </w:rPr>
        <w:t xml:space="preserve">йде посилання на </w:t>
      </w:r>
      <w:r w:rsidRPr="0036408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конкретні 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36408F">
        <w:rPr>
          <w:rFonts w:ascii="Times New Roman" w:eastAsia="Times New Roman" w:hAnsi="Times New Roman" w:cs="Times New Roman"/>
          <w:i/>
          <w:sz w:val="20"/>
          <w:szCs w:val="20"/>
        </w:rPr>
        <w:t>, то вважається, що технічні вимоги містять вираз «або еквівалент».</w:t>
      </w:r>
    </w:p>
    <w:p w:rsidR="00BA4A8D" w:rsidRPr="0036408F" w:rsidRDefault="002832AF" w:rsidP="00BA4A8D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40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025D9" w:rsidRDefault="002832AF" w:rsidP="00F025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0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F025D9" w:rsidRPr="0036408F">
        <w:rPr>
          <w:rFonts w:ascii="Times New Roman" w:hAnsi="Times New Roman"/>
          <w:b/>
          <w:sz w:val="24"/>
          <w:szCs w:val="24"/>
        </w:rPr>
        <w:t xml:space="preserve">Якість </w:t>
      </w:r>
      <w:r w:rsidR="00486B72" w:rsidRPr="0036408F">
        <w:rPr>
          <w:rFonts w:ascii="Times New Roman" w:hAnsi="Times New Roman"/>
          <w:b/>
          <w:sz w:val="24"/>
          <w:szCs w:val="24"/>
        </w:rPr>
        <w:t>наданих робіт</w:t>
      </w:r>
      <w:r w:rsidR="00F025D9" w:rsidRPr="0036408F">
        <w:rPr>
          <w:rFonts w:ascii="Times New Roman" w:hAnsi="Times New Roman"/>
          <w:b/>
          <w:sz w:val="24"/>
          <w:szCs w:val="24"/>
        </w:rPr>
        <w:t xml:space="preserve"> повинна відповідати Державним стандартам.</w:t>
      </w:r>
      <w:bookmarkStart w:id="0" w:name="_GoBack"/>
      <w:bookmarkEnd w:id="0"/>
    </w:p>
    <w:p w:rsidR="00BA4A8D" w:rsidRDefault="00BA4A8D" w:rsidP="00CF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6"/>
          <w:tab w:val="left" w:pos="9162"/>
          <w:tab w:val="left" w:pos="10078"/>
          <w:tab w:val="left" w:pos="10994"/>
          <w:tab w:val="left" w:pos="11910"/>
          <w:tab w:val="left" w:pos="12827"/>
          <w:tab w:val="left" w:pos="13742"/>
          <w:tab w:val="left" w:pos="146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</w:pPr>
    </w:p>
    <w:p w:rsidR="002832AF" w:rsidRPr="002832AF" w:rsidRDefault="002832AF" w:rsidP="00CF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6"/>
          <w:tab w:val="left" w:pos="9162"/>
          <w:tab w:val="left" w:pos="10078"/>
          <w:tab w:val="left" w:pos="10994"/>
          <w:tab w:val="left" w:pos="11910"/>
          <w:tab w:val="left" w:pos="12827"/>
          <w:tab w:val="left" w:pos="13742"/>
          <w:tab w:val="left" w:pos="14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8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Керівник</w:t>
      </w:r>
      <w:proofErr w:type="spellEnd"/>
      <w:r w:rsidRPr="0028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або</w:t>
      </w:r>
      <w:proofErr w:type="spellEnd"/>
      <w:r w:rsidRPr="0028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уповноважена</w:t>
      </w:r>
      <w:proofErr w:type="spellEnd"/>
      <w:r w:rsidRPr="0028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2832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особа</w:t>
      </w:r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(</w:t>
      </w:r>
      <w:proofErr w:type="spellStart"/>
      <w:proofErr w:type="gram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назва</w:t>
      </w:r>
      <w:proofErr w:type="spell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посади, </w:t>
      </w:r>
      <w:proofErr w:type="spellStart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прізвище</w:t>
      </w:r>
      <w:proofErr w:type="spell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,  </w:t>
      </w:r>
      <w:proofErr w:type="spellStart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ініціали</w:t>
      </w:r>
      <w:proofErr w:type="spell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підпис</w:t>
      </w:r>
      <w:proofErr w:type="spell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відбиток</w:t>
      </w:r>
      <w:proofErr w:type="spell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печатки (у </w:t>
      </w:r>
      <w:proofErr w:type="spellStart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разі</w:t>
      </w:r>
      <w:proofErr w:type="spell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) Учасника)                                                                                       </w:t>
      </w:r>
      <w:r w:rsidR="00CF79B6" w:rsidRPr="00283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М.П.</w:t>
      </w:r>
      <w:r w:rsidRPr="002832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sectPr w:rsidR="002832AF" w:rsidRPr="002832AF" w:rsidSect="00C74AC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33" w:rsidRDefault="00021433" w:rsidP="008526F0">
      <w:pPr>
        <w:spacing w:after="0" w:line="240" w:lineRule="auto"/>
      </w:pPr>
      <w:r>
        <w:separator/>
      </w:r>
    </w:p>
  </w:endnote>
  <w:endnote w:type="continuationSeparator" w:id="0">
    <w:p w:rsidR="00021433" w:rsidRDefault="00021433" w:rsidP="0085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33" w:rsidRDefault="00021433" w:rsidP="008526F0">
      <w:pPr>
        <w:spacing w:after="0" w:line="240" w:lineRule="auto"/>
      </w:pPr>
      <w:r>
        <w:separator/>
      </w:r>
    </w:p>
  </w:footnote>
  <w:footnote w:type="continuationSeparator" w:id="0">
    <w:p w:rsidR="00021433" w:rsidRDefault="00021433" w:rsidP="008526F0">
      <w:pPr>
        <w:spacing w:after="0" w:line="240" w:lineRule="auto"/>
      </w:pPr>
      <w:r>
        <w:continuationSeparator/>
      </w:r>
    </w:p>
  </w:footnote>
  <w:footnote w:id="1">
    <w:p w:rsidR="008526F0" w:rsidRPr="00CB12A8" w:rsidRDefault="008526F0" w:rsidP="008526F0">
      <w:pPr>
        <w:pStyle w:val="a3"/>
        <w:jc w:val="both"/>
      </w:pPr>
      <w:r>
        <w:rPr>
          <w:rStyle w:val="a5"/>
        </w:rPr>
        <w:footnoteRef/>
      </w:r>
      <w:r>
        <w:t xml:space="preserve"> Х</w:t>
      </w:r>
      <w:r w:rsidRPr="00CB12A8">
        <w:t xml:space="preserve">арактеристики предмета закупівлі передбачають необхідність застосування заходів із захисту довкілля. </w:t>
      </w:r>
      <w:r w:rsidRPr="00CB12A8">
        <w:rPr>
          <w:b/>
        </w:rPr>
        <w:t>Учасник в складі пропозиції</w:t>
      </w:r>
      <w:r w:rsidRPr="00CB12A8">
        <w:t xml:space="preserve"> надає лист, яким гарантує під час </w:t>
      </w:r>
      <w:r>
        <w:t xml:space="preserve">надання послуги </w:t>
      </w:r>
      <w:r w:rsidRPr="00CB12A8">
        <w:t>застосування всіх необхідних заходів із захисту довкілля, передбачених чинним законодавством України.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F41"/>
    <w:multiLevelType w:val="hybridMultilevel"/>
    <w:tmpl w:val="085062EE"/>
    <w:lvl w:ilvl="0" w:tplc="D5D8733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EFD23E1"/>
    <w:multiLevelType w:val="hybridMultilevel"/>
    <w:tmpl w:val="F7AE5898"/>
    <w:lvl w:ilvl="0" w:tplc="9F24C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E86"/>
    <w:multiLevelType w:val="multilevel"/>
    <w:tmpl w:val="E4321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26F0"/>
    <w:rsid w:val="0000608C"/>
    <w:rsid w:val="00007854"/>
    <w:rsid w:val="00021433"/>
    <w:rsid w:val="00023229"/>
    <w:rsid w:val="000C05B0"/>
    <w:rsid w:val="000D4147"/>
    <w:rsid w:val="001322BB"/>
    <w:rsid w:val="00163651"/>
    <w:rsid w:val="00165264"/>
    <w:rsid w:val="00177CE6"/>
    <w:rsid w:val="001A469F"/>
    <w:rsid w:val="001E3EB7"/>
    <w:rsid w:val="002832AF"/>
    <w:rsid w:val="002927EB"/>
    <w:rsid w:val="002A037B"/>
    <w:rsid w:val="002F121B"/>
    <w:rsid w:val="0030314A"/>
    <w:rsid w:val="0031519E"/>
    <w:rsid w:val="00321419"/>
    <w:rsid w:val="0034616C"/>
    <w:rsid w:val="00351350"/>
    <w:rsid w:val="0036408F"/>
    <w:rsid w:val="003C2010"/>
    <w:rsid w:val="003E4526"/>
    <w:rsid w:val="0046042C"/>
    <w:rsid w:val="0047555A"/>
    <w:rsid w:val="00486B72"/>
    <w:rsid w:val="004C63DB"/>
    <w:rsid w:val="00523EFA"/>
    <w:rsid w:val="00530447"/>
    <w:rsid w:val="00532F85"/>
    <w:rsid w:val="00556AAB"/>
    <w:rsid w:val="00574640"/>
    <w:rsid w:val="00576B83"/>
    <w:rsid w:val="00583E50"/>
    <w:rsid w:val="00587F2E"/>
    <w:rsid w:val="005A6750"/>
    <w:rsid w:val="005B6974"/>
    <w:rsid w:val="005C1A6A"/>
    <w:rsid w:val="005D14A2"/>
    <w:rsid w:val="005E2620"/>
    <w:rsid w:val="00633329"/>
    <w:rsid w:val="0064715C"/>
    <w:rsid w:val="00652A14"/>
    <w:rsid w:val="006540A2"/>
    <w:rsid w:val="00655BE4"/>
    <w:rsid w:val="00657FCD"/>
    <w:rsid w:val="00661B22"/>
    <w:rsid w:val="00667475"/>
    <w:rsid w:val="00667E46"/>
    <w:rsid w:val="0067609B"/>
    <w:rsid w:val="00683447"/>
    <w:rsid w:val="006A1D97"/>
    <w:rsid w:val="006E463A"/>
    <w:rsid w:val="007020BC"/>
    <w:rsid w:val="007301A8"/>
    <w:rsid w:val="00742A36"/>
    <w:rsid w:val="00746C85"/>
    <w:rsid w:val="00800D1B"/>
    <w:rsid w:val="00833636"/>
    <w:rsid w:val="008526F0"/>
    <w:rsid w:val="00874815"/>
    <w:rsid w:val="008A0090"/>
    <w:rsid w:val="008F2CDE"/>
    <w:rsid w:val="00900C68"/>
    <w:rsid w:val="0095520C"/>
    <w:rsid w:val="00963D31"/>
    <w:rsid w:val="009850CD"/>
    <w:rsid w:val="00985238"/>
    <w:rsid w:val="009B6058"/>
    <w:rsid w:val="009D52B7"/>
    <w:rsid w:val="00A11E17"/>
    <w:rsid w:val="00A21B47"/>
    <w:rsid w:val="00A504C6"/>
    <w:rsid w:val="00A62020"/>
    <w:rsid w:val="00A82581"/>
    <w:rsid w:val="00A85B42"/>
    <w:rsid w:val="00A91E76"/>
    <w:rsid w:val="00AD50A9"/>
    <w:rsid w:val="00AE3F75"/>
    <w:rsid w:val="00B00CE2"/>
    <w:rsid w:val="00B14003"/>
    <w:rsid w:val="00B25F70"/>
    <w:rsid w:val="00B3012E"/>
    <w:rsid w:val="00B5751B"/>
    <w:rsid w:val="00BA4A8D"/>
    <w:rsid w:val="00BC3812"/>
    <w:rsid w:val="00C406F8"/>
    <w:rsid w:val="00C50FE7"/>
    <w:rsid w:val="00C74AC3"/>
    <w:rsid w:val="00C762CB"/>
    <w:rsid w:val="00C920C4"/>
    <w:rsid w:val="00CA37F3"/>
    <w:rsid w:val="00CB630F"/>
    <w:rsid w:val="00CE2820"/>
    <w:rsid w:val="00CF79B6"/>
    <w:rsid w:val="00D00C28"/>
    <w:rsid w:val="00D1341D"/>
    <w:rsid w:val="00D17AEB"/>
    <w:rsid w:val="00D229A5"/>
    <w:rsid w:val="00D55230"/>
    <w:rsid w:val="00DA1196"/>
    <w:rsid w:val="00DA4CE7"/>
    <w:rsid w:val="00DB7ADD"/>
    <w:rsid w:val="00DE025A"/>
    <w:rsid w:val="00DE3D6E"/>
    <w:rsid w:val="00E701B3"/>
    <w:rsid w:val="00E83756"/>
    <w:rsid w:val="00E84576"/>
    <w:rsid w:val="00E979AE"/>
    <w:rsid w:val="00ED3FBB"/>
    <w:rsid w:val="00F025D9"/>
    <w:rsid w:val="00F1760B"/>
    <w:rsid w:val="00F211B1"/>
    <w:rsid w:val="00F706EF"/>
    <w:rsid w:val="00F95791"/>
    <w:rsid w:val="00FC20C4"/>
    <w:rsid w:val="00FC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EEFC"/>
  <w15:docId w15:val="{71A56C3E-4702-470C-9955-F2E7546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2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8526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8526F0"/>
    <w:rPr>
      <w:vertAlign w:val="superscript"/>
    </w:rPr>
  </w:style>
  <w:style w:type="paragraph" w:styleId="a6">
    <w:name w:val="List Paragraph"/>
    <w:basedOn w:val="a"/>
    <w:uiPriority w:val="34"/>
    <w:qFormat/>
    <w:rsid w:val="00583E50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7">
    <w:name w:val="Normal (Web)"/>
    <w:basedOn w:val="a"/>
    <w:uiPriority w:val="99"/>
    <w:semiHidden/>
    <w:unhideWhenUsed/>
    <w:rsid w:val="0080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74A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AC3"/>
  </w:style>
  <w:style w:type="paragraph" w:styleId="aa">
    <w:name w:val="footer"/>
    <w:basedOn w:val="a"/>
    <w:link w:val="ab"/>
    <w:uiPriority w:val="99"/>
    <w:unhideWhenUsed/>
    <w:rsid w:val="00C74A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AC3"/>
  </w:style>
  <w:style w:type="paragraph" w:styleId="ac">
    <w:name w:val="Balloon Text"/>
    <w:basedOn w:val="a"/>
    <w:link w:val="ad"/>
    <w:uiPriority w:val="99"/>
    <w:semiHidden/>
    <w:unhideWhenUsed/>
    <w:rsid w:val="00BA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2022-04-11T11:31:00Z</cp:lastPrinted>
  <dcterms:created xsi:type="dcterms:W3CDTF">2020-10-26T13:09:00Z</dcterms:created>
  <dcterms:modified xsi:type="dcterms:W3CDTF">2022-05-13T12:21:00Z</dcterms:modified>
</cp:coreProperties>
</file>