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502BC4" w:rsidRDefault="00DF65E9" w:rsidP="00BB2637">
      <w:pPr>
        <w:pStyle w:val="a3"/>
        <w:spacing w:line="276" w:lineRule="auto"/>
        <w:ind w:firstLine="709"/>
        <w:rPr>
          <w:b/>
          <w:bCs/>
          <w:sz w:val="23"/>
          <w:szCs w:val="23"/>
        </w:rPr>
      </w:pPr>
      <w:r w:rsidRPr="00502BC4">
        <w:rPr>
          <w:sz w:val="23"/>
          <w:szCs w:val="23"/>
        </w:rPr>
        <w:t>1.1. Постачальник зобов’язується передати у власність Покупця товар</w:t>
      </w:r>
      <w:r w:rsidR="000F538D" w:rsidRPr="000F538D">
        <w:t xml:space="preserve"> </w:t>
      </w:r>
      <w:r w:rsidR="00A862BF" w:rsidRPr="00A862BF">
        <w:rPr>
          <w:b/>
          <w:sz w:val="23"/>
          <w:szCs w:val="23"/>
        </w:rPr>
        <w:t>Риба хек, тушка без голови, 300-500г, суха заморозка, вагова за кодом ДК 021-2015- 15220000-6 – Риба, рибне філе та інше м'ясо риби мороженої</w:t>
      </w:r>
      <w:bookmarkStart w:id="0" w:name="_GoBack"/>
      <w:bookmarkEnd w:id="0"/>
      <w:r w:rsidR="000F538D" w:rsidRPr="000F538D">
        <w:rPr>
          <w:b/>
          <w:sz w:val="23"/>
          <w:szCs w:val="23"/>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 xml:space="preserve">4.2. </w:t>
      </w:r>
      <w:r w:rsidR="00DF5891" w:rsidRPr="00DF5891">
        <w:rPr>
          <w:sz w:val="23"/>
          <w:szCs w:val="23"/>
        </w:rPr>
        <w:t>Постачальник зобов’язується здійснити поставку товару до медичного закладу власним транспорто</w:t>
      </w:r>
      <w:r w:rsidR="00280C35">
        <w:rPr>
          <w:sz w:val="23"/>
          <w:szCs w:val="23"/>
        </w:rPr>
        <w:t>м згідно заявки покупця не пізніше</w:t>
      </w:r>
      <w:r w:rsidR="00280C35" w:rsidRPr="00DF5891">
        <w:rPr>
          <w:sz w:val="23"/>
          <w:szCs w:val="23"/>
        </w:rPr>
        <w:t xml:space="preserve"> </w:t>
      </w:r>
      <w:r w:rsidR="00DF5891" w:rsidRPr="00DF5891">
        <w:rPr>
          <w:sz w:val="23"/>
          <w:szCs w:val="23"/>
        </w:rPr>
        <w:t>31 грудня</w:t>
      </w:r>
      <w:r w:rsidR="00280C35">
        <w:rPr>
          <w:sz w:val="23"/>
          <w:szCs w:val="23"/>
        </w:rPr>
        <w:t xml:space="preserve"> 2023 року</w:t>
      </w:r>
      <w:r w:rsidR="00DC3AB2" w:rsidRPr="00D65C2A">
        <w:rPr>
          <w:b/>
          <w:i/>
          <w:sz w:val="23"/>
          <w:szCs w:val="23"/>
        </w:rPr>
        <w:t>.</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5891" w:rsidRDefault="00DF5891" w:rsidP="00DF65E9">
      <w:pPr>
        <w:pStyle w:val="a3"/>
        <w:shd w:val="clear" w:color="auto" w:fill="FFFFFF"/>
        <w:spacing w:line="276" w:lineRule="auto"/>
        <w:jc w:val="center"/>
        <w:rPr>
          <w:b/>
          <w:bCs/>
          <w:sz w:val="23"/>
          <w:szCs w:val="23"/>
        </w:rPr>
      </w:pPr>
    </w:p>
    <w:p w:rsidR="00DF5891" w:rsidRDefault="00DF5891" w:rsidP="00DF65E9">
      <w:pPr>
        <w:pStyle w:val="a3"/>
        <w:shd w:val="clear" w:color="auto" w:fill="FFFFFF"/>
        <w:spacing w:line="276" w:lineRule="auto"/>
        <w:jc w:val="center"/>
        <w:rPr>
          <w:b/>
          <w:bCs/>
          <w:sz w:val="23"/>
          <w:szCs w:val="23"/>
        </w:rPr>
      </w:pP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lastRenderedPageBreak/>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та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w:t>
      </w:r>
      <w:r w:rsidR="0078592F" w:rsidRPr="0078592F">
        <w:rPr>
          <w:i/>
        </w:rPr>
        <w:lastRenderedPageBreak/>
        <w:t xml:space="preserve">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Default="00467377" w:rsidP="00467377">
      <w:pPr>
        <w:ind w:firstLine="720"/>
        <w:jc w:val="both"/>
      </w:pPr>
      <w:r w:rsidRPr="00467377">
        <w:t>7) )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502BC4" w:rsidRDefault="00DF65E9" w:rsidP="00DF65E9">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Default="00DF65E9" w:rsidP="00A06EE3">
      <w:pPr>
        <w:pStyle w:val="a3"/>
        <w:tabs>
          <w:tab w:val="left" w:pos="709"/>
        </w:tabs>
        <w:spacing w:line="276" w:lineRule="auto"/>
        <w:rPr>
          <w:sz w:val="23"/>
          <w:szCs w:val="23"/>
        </w:rPr>
      </w:pPr>
      <w:r w:rsidRPr="00502BC4">
        <w:rPr>
          <w:sz w:val="23"/>
          <w:szCs w:val="23"/>
        </w:rPr>
        <w:tab/>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w:t>
      </w:r>
      <w:r w:rsidR="00A06EE3" w:rsidRPr="00A06EE3">
        <w:rPr>
          <w:sz w:val="23"/>
          <w:szCs w:val="23"/>
        </w:rPr>
        <w:lastRenderedPageBreak/>
        <w:t>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lastRenderedPageBreak/>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995CE6"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DF65E9" w:rsidRDefault="00DF65E9" w:rsidP="00DF65E9">
      <w:pPr>
        <w:pStyle w:val="7"/>
        <w:rPr>
          <w:rFonts w:ascii="Times New Roman" w:hAnsi="Times New Roman"/>
          <w:b/>
        </w:rPr>
      </w:pPr>
    </w:p>
    <w:p w:rsidR="00675690" w:rsidRDefault="00675690" w:rsidP="00675690">
      <w:pPr>
        <w:rPr>
          <w:lang w:eastAsia="en-US"/>
        </w:rPr>
      </w:pPr>
    </w:p>
    <w:p w:rsidR="00675690" w:rsidRDefault="00675690" w:rsidP="00675690">
      <w:pPr>
        <w:rPr>
          <w:lang w:eastAsia="en-US"/>
        </w:rPr>
      </w:pPr>
    </w:p>
    <w:p w:rsidR="00675690" w:rsidRDefault="00675690" w:rsidP="00675690">
      <w:pPr>
        <w:rPr>
          <w:lang w:eastAsia="en-US"/>
        </w:rPr>
      </w:pPr>
    </w:p>
    <w:p w:rsidR="00675690" w:rsidRPr="00675690" w:rsidRDefault="00675690"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437" w:type="dxa"/>
        <w:tblInd w:w="-457" w:type="dxa"/>
        <w:tblCellMar>
          <w:left w:w="30" w:type="dxa"/>
          <w:right w:w="0" w:type="dxa"/>
        </w:tblCellMar>
        <w:tblLook w:val="04A0" w:firstRow="1" w:lastRow="0" w:firstColumn="1" w:lastColumn="0" w:noHBand="0" w:noVBand="1"/>
      </w:tblPr>
      <w:tblGrid>
        <w:gridCol w:w="252"/>
        <w:gridCol w:w="2441"/>
        <w:gridCol w:w="1228"/>
        <w:gridCol w:w="813"/>
        <w:gridCol w:w="840"/>
        <w:gridCol w:w="1011"/>
        <w:gridCol w:w="1125"/>
        <w:gridCol w:w="933"/>
        <w:gridCol w:w="178"/>
        <w:gridCol w:w="1560"/>
        <w:gridCol w:w="56"/>
      </w:tblGrid>
      <w:tr w:rsidR="006E2413" w:rsidRPr="00502BC4" w:rsidTr="00DF5891">
        <w:trPr>
          <w:gridAfter w:val="1"/>
          <w:wAfter w:w="56" w:type="dxa"/>
          <w:trHeight w:val="208"/>
        </w:trPr>
        <w:tc>
          <w:tcPr>
            <w:tcW w:w="252" w:type="dxa"/>
            <w:vAlign w:val="center"/>
            <w:hideMark/>
          </w:tcPr>
          <w:p w:rsidR="006E2413" w:rsidRPr="00502BC4" w:rsidRDefault="006E2413" w:rsidP="0086510A">
            <w:pPr>
              <w:suppressAutoHyphens w:val="0"/>
              <w:jc w:val="center"/>
              <w:rPr>
                <w:sz w:val="22"/>
                <w:szCs w:val="22"/>
                <w:lang w:eastAsia="en-US"/>
              </w:rPr>
            </w:pPr>
          </w:p>
        </w:tc>
        <w:tc>
          <w:tcPr>
            <w:tcW w:w="2441" w:type="dxa"/>
            <w:vAlign w:val="center"/>
            <w:hideMark/>
          </w:tcPr>
          <w:p w:rsidR="006E2413" w:rsidRPr="00502BC4" w:rsidRDefault="006E2413" w:rsidP="0086510A">
            <w:pPr>
              <w:suppressAutoHyphens w:val="0"/>
              <w:jc w:val="center"/>
              <w:rPr>
                <w:sz w:val="22"/>
                <w:szCs w:val="22"/>
                <w:lang w:eastAsia="en-US"/>
              </w:rPr>
            </w:pPr>
          </w:p>
        </w:tc>
        <w:tc>
          <w:tcPr>
            <w:tcW w:w="1228" w:type="dxa"/>
          </w:tcPr>
          <w:p w:rsidR="006E2413" w:rsidRPr="00502BC4" w:rsidRDefault="006E2413" w:rsidP="0086510A">
            <w:pPr>
              <w:suppressAutoHyphens w:val="0"/>
              <w:jc w:val="center"/>
              <w:rPr>
                <w:sz w:val="22"/>
                <w:szCs w:val="22"/>
                <w:lang w:eastAsia="en-US"/>
              </w:rPr>
            </w:pPr>
          </w:p>
        </w:tc>
        <w:tc>
          <w:tcPr>
            <w:tcW w:w="813" w:type="dxa"/>
            <w:vAlign w:val="center"/>
            <w:hideMark/>
          </w:tcPr>
          <w:p w:rsidR="006E2413" w:rsidRPr="00502BC4" w:rsidRDefault="006E2413" w:rsidP="0086510A">
            <w:pPr>
              <w:suppressAutoHyphens w:val="0"/>
              <w:jc w:val="center"/>
              <w:rPr>
                <w:sz w:val="22"/>
                <w:szCs w:val="22"/>
                <w:lang w:eastAsia="en-US"/>
              </w:rPr>
            </w:pPr>
          </w:p>
        </w:tc>
        <w:tc>
          <w:tcPr>
            <w:tcW w:w="840" w:type="dxa"/>
            <w:vAlign w:val="center"/>
            <w:hideMark/>
          </w:tcPr>
          <w:p w:rsidR="006E2413" w:rsidRPr="00502BC4" w:rsidRDefault="006E2413" w:rsidP="0086510A">
            <w:pPr>
              <w:suppressAutoHyphens w:val="0"/>
              <w:jc w:val="center"/>
              <w:rPr>
                <w:sz w:val="22"/>
                <w:szCs w:val="22"/>
                <w:lang w:eastAsia="en-US"/>
              </w:rPr>
            </w:pPr>
          </w:p>
        </w:tc>
        <w:tc>
          <w:tcPr>
            <w:tcW w:w="1011" w:type="dxa"/>
            <w:vAlign w:val="center"/>
            <w:hideMark/>
          </w:tcPr>
          <w:p w:rsidR="006E2413" w:rsidRPr="00502BC4" w:rsidRDefault="006E2413" w:rsidP="0086510A">
            <w:pPr>
              <w:suppressAutoHyphens w:val="0"/>
              <w:jc w:val="center"/>
              <w:rPr>
                <w:sz w:val="22"/>
                <w:szCs w:val="22"/>
                <w:lang w:eastAsia="en-US"/>
              </w:rPr>
            </w:pPr>
          </w:p>
        </w:tc>
        <w:tc>
          <w:tcPr>
            <w:tcW w:w="1125" w:type="dxa"/>
            <w:vAlign w:val="center"/>
            <w:hideMark/>
          </w:tcPr>
          <w:p w:rsidR="006E2413" w:rsidRPr="00502BC4" w:rsidRDefault="006E2413" w:rsidP="0086510A">
            <w:pPr>
              <w:suppressAutoHyphens w:val="0"/>
              <w:jc w:val="center"/>
              <w:rPr>
                <w:sz w:val="22"/>
                <w:szCs w:val="22"/>
                <w:lang w:eastAsia="en-US"/>
              </w:rPr>
            </w:pPr>
          </w:p>
        </w:tc>
        <w:tc>
          <w:tcPr>
            <w:tcW w:w="933" w:type="dxa"/>
            <w:vAlign w:val="center"/>
            <w:hideMark/>
          </w:tcPr>
          <w:p w:rsidR="006E2413" w:rsidRPr="00502BC4" w:rsidRDefault="006E2413" w:rsidP="0086510A">
            <w:pPr>
              <w:suppressAutoHyphens w:val="0"/>
              <w:jc w:val="center"/>
              <w:rPr>
                <w:sz w:val="22"/>
                <w:szCs w:val="22"/>
                <w:lang w:eastAsia="en-US"/>
              </w:rPr>
            </w:pPr>
          </w:p>
        </w:tc>
        <w:tc>
          <w:tcPr>
            <w:tcW w:w="1738" w:type="dxa"/>
            <w:gridSpan w:val="2"/>
            <w:vAlign w:val="center"/>
            <w:hideMark/>
          </w:tcPr>
          <w:p w:rsidR="006E2413" w:rsidRPr="00502BC4" w:rsidRDefault="006E2413" w:rsidP="0086510A">
            <w:pPr>
              <w:suppressAutoHyphens w:val="0"/>
              <w:jc w:val="center"/>
              <w:rPr>
                <w:sz w:val="22"/>
                <w:szCs w:val="22"/>
                <w:lang w:eastAsia="en-US"/>
              </w:rPr>
            </w:pPr>
          </w:p>
        </w:tc>
      </w:tr>
      <w:tr w:rsidR="006E2413" w:rsidRPr="00502BC4" w:rsidTr="00DF5891">
        <w:trPr>
          <w:trHeight w:val="409"/>
        </w:trPr>
        <w:tc>
          <w:tcPr>
            <w:tcW w:w="252" w:type="dxa"/>
            <w:tcBorders>
              <w:top w:val="nil"/>
              <w:left w:val="nil"/>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w:t>
            </w:r>
          </w:p>
        </w:tc>
        <w:tc>
          <w:tcPr>
            <w:tcW w:w="2441"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Товар</w:t>
            </w:r>
          </w:p>
        </w:tc>
        <w:tc>
          <w:tcPr>
            <w:tcW w:w="1228" w:type="dxa"/>
            <w:tcBorders>
              <w:top w:val="nil"/>
              <w:left w:val="single" w:sz="6" w:space="0" w:color="000000"/>
              <w:right w:val="single" w:sz="6" w:space="0" w:color="000000"/>
            </w:tcBorders>
            <w:shd w:val="clear" w:color="auto" w:fill="EEEEEE"/>
          </w:tcPr>
          <w:p w:rsidR="006E2413" w:rsidRPr="00502BC4" w:rsidRDefault="006E2413" w:rsidP="0086510A">
            <w:pPr>
              <w:suppressAutoHyphens w:val="0"/>
              <w:jc w:val="center"/>
              <w:rPr>
                <w:b/>
                <w:bCs/>
                <w:sz w:val="22"/>
                <w:szCs w:val="22"/>
                <w:lang w:eastAsia="en-US"/>
              </w:rPr>
            </w:pPr>
            <w:r>
              <w:rPr>
                <w:b/>
                <w:bCs/>
                <w:sz w:val="22"/>
                <w:szCs w:val="22"/>
                <w:lang w:eastAsia="en-US"/>
              </w:rPr>
              <w:t>Країна походження товару</w:t>
            </w:r>
          </w:p>
        </w:tc>
        <w:tc>
          <w:tcPr>
            <w:tcW w:w="813"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Кіл-сть</w:t>
            </w:r>
          </w:p>
        </w:tc>
        <w:tc>
          <w:tcPr>
            <w:tcW w:w="840"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Од.</w:t>
            </w:r>
          </w:p>
        </w:tc>
        <w:tc>
          <w:tcPr>
            <w:tcW w:w="1011"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Ціна без ПДВ</w:t>
            </w:r>
          </w:p>
        </w:tc>
        <w:tc>
          <w:tcPr>
            <w:tcW w:w="1125" w:type="dxa"/>
            <w:tcBorders>
              <w:top w:val="nil"/>
              <w:left w:val="single" w:sz="6" w:space="0" w:color="000000"/>
              <w:righ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Сума без ПДВ</w:t>
            </w:r>
          </w:p>
        </w:tc>
        <w:tc>
          <w:tcPr>
            <w:tcW w:w="1111" w:type="dxa"/>
            <w:gridSpan w:val="2"/>
            <w:tcBorders>
              <w:top w:val="nil"/>
              <w:left w:val="single" w:sz="6" w:space="0" w:color="000000"/>
              <w:righ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Сума ПДВ</w:t>
            </w:r>
          </w:p>
        </w:tc>
        <w:tc>
          <w:tcPr>
            <w:tcW w:w="1560" w:type="dxa"/>
            <w:tcBorders>
              <w:top w:val="nil"/>
              <w:left w:val="single" w:sz="6" w:space="0" w:color="000000"/>
              <w:right w:val="single" w:sz="12"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Сума з ПДВ</w:t>
            </w:r>
          </w:p>
        </w:tc>
        <w:tc>
          <w:tcPr>
            <w:tcW w:w="56" w:type="dxa"/>
            <w:vAlign w:val="center"/>
            <w:hideMark/>
          </w:tcPr>
          <w:p w:rsidR="006E2413" w:rsidRPr="00502BC4" w:rsidRDefault="006E2413" w:rsidP="0086510A">
            <w:pPr>
              <w:suppressAutoHyphens w:val="0"/>
              <w:jc w:val="center"/>
              <w:rPr>
                <w:b/>
                <w:bCs/>
                <w:sz w:val="22"/>
                <w:szCs w:val="22"/>
                <w:lang w:eastAsia="en-US"/>
              </w:rPr>
            </w:pPr>
          </w:p>
        </w:tc>
      </w:tr>
      <w:tr w:rsidR="006E2413" w:rsidRPr="00502BC4" w:rsidTr="00DF5891">
        <w:trPr>
          <w:trHeight w:val="186"/>
        </w:trPr>
        <w:tc>
          <w:tcPr>
            <w:tcW w:w="252" w:type="dxa"/>
            <w:tcBorders>
              <w:top w:val="single" w:sz="6" w:space="0" w:color="000000"/>
              <w:left w:val="nil"/>
            </w:tcBorders>
            <w:vAlign w:val="center"/>
          </w:tcPr>
          <w:p w:rsidR="006E2413" w:rsidRPr="00502BC4" w:rsidRDefault="006E2413" w:rsidP="0086510A">
            <w:pPr>
              <w:suppressAutoHyphens w:val="0"/>
              <w:jc w:val="center"/>
              <w:rPr>
                <w:sz w:val="22"/>
                <w:szCs w:val="22"/>
                <w:lang w:eastAsia="en-US"/>
              </w:rPr>
            </w:pPr>
          </w:p>
        </w:tc>
        <w:tc>
          <w:tcPr>
            <w:tcW w:w="244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6E2413" w:rsidRPr="00DF5891" w:rsidRDefault="006E2413" w:rsidP="00DF5891">
            <w:pPr>
              <w:jc w:val="center"/>
              <w:rPr>
                <w:sz w:val="22"/>
                <w:szCs w:val="22"/>
                <w:lang w:eastAsia="en-US"/>
              </w:rPr>
            </w:pPr>
          </w:p>
        </w:tc>
        <w:tc>
          <w:tcPr>
            <w:tcW w:w="813"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840"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01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125" w:type="dxa"/>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111" w:type="dxa"/>
            <w:gridSpan w:val="2"/>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560" w:type="dxa"/>
            <w:tcBorders>
              <w:top w:val="single" w:sz="6" w:space="0" w:color="000000"/>
              <w:left w:val="single" w:sz="6" w:space="0" w:color="000000"/>
              <w:right w:val="single" w:sz="12" w:space="0" w:color="000000"/>
            </w:tcBorders>
            <w:vAlign w:val="center"/>
          </w:tcPr>
          <w:p w:rsidR="006E2413" w:rsidRPr="00502BC4" w:rsidRDefault="006E2413" w:rsidP="0086510A">
            <w:pPr>
              <w:suppressAutoHyphens w:val="0"/>
              <w:jc w:val="center"/>
              <w:rPr>
                <w:sz w:val="22"/>
                <w:szCs w:val="22"/>
                <w:lang w:eastAsia="en-US"/>
              </w:rPr>
            </w:pPr>
          </w:p>
        </w:tc>
        <w:tc>
          <w:tcPr>
            <w:tcW w:w="56" w:type="dxa"/>
            <w:vAlign w:val="center"/>
            <w:hideMark/>
          </w:tcPr>
          <w:p w:rsidR="006E2413" w:rsidRPr="00502BC4" w:rsidRDefault="006E2413" w:rsidP="0086510A">
            <w:pPr>
              <w:suppressAutoHyphens w:val="0"/>
              <w:jc w:val="center"/>
              <w:rPr>
                <w:sz w:val="22"/>
                <w:szCs w:val="22"/>
                <w:lang w:eastAsia="en-US"/>
              </w:rPr>
            </w:pPr>
          </w:p>
        </w:tc>
      </w:tr>
      <w:tr w:rsidR="006E2413" w:rsidRPr="00502BC4" w:rsidTr="00DF5891">
        <w:trPr>
          <w:trHeight w:val="186"/>
        </w:trPr>
        <w:tc>
          <w:tcPr>
            <w:tcW w:w="252" w:type="dxa"/>
            <w:tcBorders>
              <w:top w:val="single" w:sz="6" w:space="0" w:color="000000"/>
              <w:left w:val="nil"/>
            </w:tcBorders>
            <w:vAlign w:val="center"/>
          </w:tcPr>
          <w:p w:rsidR="006E2413" w:rsidRPr="00502BC4" w:rsidRDefault="006E2413" w:rsidP="0086510A">
            <w:pPr>
              <w:suppressAutoHyphens w:val="0"/>
              <w:jc w:val="center"/>
              <w:rPr>
                <w:sz w:val="22"/>
                <w:szCs w:val="22"/>
                <w:lang w:eastAsia="en-US"/>
              </w:rPr>
            </w:pPr>
          </w:p>
        </w:tc>
        <w:tc>
          <w:tcPr>
            <w:tcW w:w="244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6E2413" w:rsidRPr="00502BC4" w:rsidRDefault="006E2413" w:rsidP="0086510A">
            <w:pPr>
              <w:suppressAutoHyphens w:val="0"/>
              <w:jc w:val="center"/>
              <w:rPr>
                <w:sz w:val="22"/>
                <w:szCs w:val="22"/>
                <w:lang w:eastAsia="en-US"/>
              </w:rPr>
            </w:pPr>
          </w:p>
        </w:tc>
        <w:tc>
          <w:tcPr>
            <w:tcW w:w="813"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840"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01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125" w:type="dxa"/>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111" w:type="dxa"/>
            <w:gridSpan w:val="2"/>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560" w:type="dxa"/>
            <w:tcBorders>
              <w:top w:val="single" w:sz="6" w:space="0" w:color="000000"/>
              <w:left w:val="single" w:sz="6" w:space="0" w:color="000000"/>
              <w:right w:val="single" w:sz="12" w:space="0" w:color="000000"/>
            </w:tcBorders>
            <w:vAlign w:val="center"/>
          </w:tcPr>
          <w:p w:rsidR="006E2413" w:rsidRPr="00502BC4" w:rsidRDefault="006E2413" w:rsidP="0086510A">
            <w:pPr>
              <w:suppressAutoHyphens w:val="0"/>
              <w:jc w:val="center"/>
              <w:rPr>
                <w:sz w:val="22"/>
                <w:szCs w:val="22"/>
                <w:lang w:eastAsia="en-US"/>
              </w:rPr>
            </w:pPr>
          </w:p>
        </w:tc>
        <w:tc>
          <w:tcPr>
            <w:tcW w:w="56" w:type="dxa"/>
            <w:vAlign w:val="center"/>
            <w:hideMark/>
          </w:tcPr>
          <w:p w:rsidR="006E2413" w:rsidRPr="00502BC4" w:rsidRDefault="006E2413" w:rsidP="0086510A">
            <w:pPr>
              <w:suppressAutoHyphens w:val="0"/>
              <w:jc w:val="center"/>
              <w:rPr>
                <w:sz w:val="22"/>
                <w:szCs w:val="22"/>
                <w:lang w:eastAsia="en-US"/>
              </w:rPr>
            </w:pPr>
          </w:p>
        </w:tc>
      </w:tr>
      <w:tr w:rsidR="006E2413" w:rsidRPr="00502BC4" w:rsidTr="00DF5891">
        <w:trPr>
          <w:gridAfter w:val="1"/>
          <w:wAfter w:w="56" w:type="dxa"/>
          <w:trHeight w:val="61"/>
        </w:trPr>
        <w:tc>
          <w:tcPr>
            <w:tcW w:w="252" w:type="dxa"/>
            <w:tcBorders>
              <w:top w:val="single" w:sz="12" w:space="0" w:color="000000"/>
              <w:left w:val="nil"/>
            </w:tcBorders>
            <w:vAlign w:val="center"/>
            <w:hideMark/>
          </w:tcPr>
          <w:p w:rsidR="006E2413" w:rsidRPr="00502BC4" w:rsidRDefault="006E2413" w:rsidP="002536E5">
            <w:pPr>
              <w:suppressAutoHyphens w:val="0"/>
              <w:jc w:val="center"/>
              <w:rPr>
                <w:sz w:val="22"/>
                <w:szCs w:val="22"/>
                <w:lang w:eastAsia="en-US"/>
              </w:rPr>
            </w:pPr>
          </w:p>
        </w:tc>
        <w:tc>
          <w:tcPr>
            <w:tcW w:w="2441"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228" w:type="dxa"/>
            <w:tcBorders>
              <w:top w:val="single" w:sz="12" w:space="0" w:color="000000"/>
            </w:tcBorders>
          </w:tcPr>
          <w:p w:rsidR="006E2413" w:rsidRPr="00502BC4" w:rsidRDefault="006E2413" w:rsidP="002536E5">
            <w:pPr>
              <w:suppressAutoHyphens w:val="0"/>
              <w:jc w:val="center"/>
              <w:rPr>
                <w:sz w:val="22"/>
                <w:szCs w:val="22"/>
                <w:lang w:eastAsia="en-US"/>
              </w:rPr>
            </w:pPr>
          </w:p>
        </w:tc>
        <w:tc>
          <w:tcPr>
            <w:tcW w:w="813"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840"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011"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125"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933"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738" w:type="dxa"/>
            <w:gridSpan w:val="2"/>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r>
    </w:tbl>
    <w:p w:rsidR="00DF65E9" w:rsidRPr="00502BC4" w:rsidRDefault="00DF65E9" w:rsidP="006E2413">
      <w:pPr>
        <w:keepNext/>
        <w:tabs>
          <w:tab w:val="left" w:pos="720"/>
        </w:tabs>
        <w:jc w:val="both"/>
        <w:rPr>
          <w:i/>
        </w:rPr>
      </w:pPr>
    </w:p>
    <w:tbl>
      <w:tblPr>
        <w:tblW w:w="10479" w:type="dxa"/>
        <w:tblInd w:w="-457" w:type="dxa"/>
        <w:tblCellMar>
          <w:left w:w="30" w:type="dxa"/>
          <w:right w:w="0" w:type="dxa"/>
        </w:tblCellMar>
        <w:tblLook w:val="04A0" w:firstRow="1" w:lastRow="0" w:firstColumn="1" w:lastColumn="0" w:noHBand="0" w:noVBand="1"/>
      </w:tblPr>
      <w:tblGrid>
        <w:gridCol w:w="10479"/>
      </w:tblGrid>
      <w:tr w:rsidR="006E2413" w:rsidRPr="00502BC4" w:rsidTr="006E2413">
        <w:trPr>
          <w:trHeight w:val="229"/>
        </w:trPr>
        <w:tc>
          <w:tcPr>
            <w:tcW w:w="10479" w:type="dxa"/>
            <w:tcBorders>
              <w:left w:val="nil"/>
            </w:tcBorders>
            <w:vAlign w:val="center"/>
            <w:hideMark/>
          </w:tcPr>
          <w:p w:rsidR="006E2413" w:rsidRPr="00502BC4" w:rsidRDefault="006E2413" w:rsidP="006E2413">
            <w:pPr>
              <w:suppressAutoHyphens w:val="0"/>
              <w:jc w:val="center"/>
              <w:rPr>
                <w:b/>
                <w:bCs/>
                <w:sz w:val="22"/>
                <w:szCs w:val="22"/>
                <w:lang w:eastAsia="en-US"/>
              </w:rPr>
            </w:pPr>
            <w:r>
              <w:rPr>
                <w:b/>
                <w:bCs/>
                <w:sz w:val="22"/>
                <w:szCs w:val="22"/>
                <w:lang w:eastAsia="en-US"/>
              </w:rPr>
              <w:t xml:space="preserve">                                                                                                          </w:t>
            </w:r>
            <w:r w:rsidRPr="00502BC4">
              <w:rPr>
                <w:b/>
                <w:bCs/>
                <w:sz w:val="22"/>
                <w:szCs w:val="22"/>
                <w:lang w:eastAsia="en-US"/>
              </w:rPr>
              <w:t>Разом без ПДВ, грн:</w:t>
            </w:r>
          </w:p>
        </w:tc>
      </w:tr>
      <w:tr w:rsidR="006E2413" w:rsidRPr="00502BC4" w:rsidTr="006E2413">
        <w:trPr>
          <w:trHeight w:val="229"/>
        </w:trPr>
        <w:tc>
          <w:tcPr>
            <w:tcW w:w="10479" w:type="dxa"/>
            <w:tcBorders>
              <w:left w:val="nil"/>
            </w:tcBorders>
            <w:vAlign w:val="center"/>
            <w:hideMark/>
          </w:tcPr>
          <w:p w:rsidR="006E2413" w:rsidRPr="00502BC4" w:rsidRDefault="006E2413" w:rsidP="006E2413">
            <w:pPr>
              <w:suppressAutoHyphens w:val="0"/>
              <w:jc w:val="center"/>
              <w:rPr>
                <w:b/>
                <w:bCs/>
                <w:sz w:val="22"/>
                <w:szCs w:val="22"/>
                <w:lang w:eastAsia="en-US"/>
              </w:rPr>
            </w:pPr>
            <w:r>
              <w:rPr>
                <w:b/>
                <w:bCs/>
                <w:sz w:val="22"/>
                <w:szCs w:val="22"/>
                <w:lang w:eastAsia="en-US"/>
              </w:rPr>
              <w:t xml:space="preserve">                                                                                                 </w:t>
            </w:r>
            <w:r w:rsidR="00DF5891">
              <w:rPr>
                <w:b/>
                <w:bCs/>
                <w:sz w:val="22"/>
                <w:szCs w:val="22"/>
                <w:lang w:eastAsia="en-US"/>
              </w:rPr>
              <w:t xml:space="preserve">                </w:t>
            </w:r>
            <w:r>
              <w:rPr>
                <w:b/>
                <w:bCs/>
                <w:sz w:val="22"/>
                <w:szCs w:val="22"/>
                <w:lang w:eastAsia="en-US"/>
              </w:rPr>
              <w:t xml:space="preserve"> </w:t>
            </w:r>
            <w:r w:rsidRPr="00502BC4">
              <w:rPr>
                <w:b/>
                <w:bCs/>
                <w:sz w:val="22"/>
                <w:szCs w:val="22"/>
                <w:lang w:eastAsia="en-US"/>
              </w:rPr>
              <w:t>Сума ПДВ, грн:</w:t>
            </w:r>
          </w:p>
        </w:tc>
      </w:tr>
    </w:tbl>
    <w:p w:rsidR="006E2413" w:rsidRDefault="006E2413" w:rsidP="006B042C">
      <w:pPr>
        <w:pStyle w:val="aa"/>
        <w:spacing w:before="0" w:beforeAutospacing="0" w:after="0" w:afterAutospacing="0" w:line="276" w:lineRule="auto"/>
        <w:jc w:val="both"/>
        <w:rPr>
          <w:b/>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Pr="00011C7A" w:rsidRDefault="00763978"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8"/>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C9" w:rsidRDefault="004755C9">
      <w:r>
        <w:separator/>
      </w:r>
    </w:p>
  </w:endnote>
  <w:endnote w:type="continuationSeparator" w:id="0">
    <w:p w:rsidR="004755C9" w:rsidRDefault="0047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4755C9"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C9" w:rsidRDefault="004755C9">
      <w:r>
        <w:separator/>
      </w:r>
    </w:p>
  </w:footnote>
  <w:footnote w:type="continuationSeparator" w:id="0">
    <w:p w:rsidR="004755C9" w:rsidRDefault="0047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865F7"/>
    <w:rsid w:val="000C7C2B"/>
    <w:rsid w:val="000F538D"/>
    <w:rsid w:val="00125787"/>
    <w:rsid w:val="001379E5"/>
    <w:rsid w:val="00145FB3"/>
    <w:rsid w:val="00151550"/>
    <w:rsid w:val="00166AAD"/>
    <w:rsid w:val="001964C5"/>
    <w:rsid w:val="00224DF6"/>
    <w:rsid w:val="002536E5"/>
    <w:rsid w:val="00280C35"/>
    <w:rsid w:val="0029043C"/>
    <w:rsid w:val="002C595D"/>
    <w:rsid w:val="002D6C5A"/>
    <w:rsid w:val="00304772"/>
    <w:rsid w:val="00363CE6"/>
    <w:rsid w:val="0037058F"/>
    <w:rsid w:val="003A5512"/>
    <w:rsid w:val="003E3E8C"/>
    <w:rsid w:val="003E76EF"/>
    <w:rsid w:val="00431A09"/>
    <w:rsid w:val="0046521D"/>
    <w:rsid w:val="00467377"/>
    <w:rsid w:val="00467F71"/>
    <w:rsid w:val="004755C9"/>
    <w:rsid w:val="00486B7D"/>
    <w:rsid w:val="004C3718"/>
    <w:rsid w:val="004F31B8"/>
    <w:rsid w:val="00502BC4"/>
    <w:rsid w:val="005606FE"/>
    <w:rsid w:val="005A3324"/>
    <w:rsid w:val="005A5790"/>
    <w:rsid w:val="006534D0"/>
    <w:rsid w:val="00667489"/>
    <w:rsid w:val="00667DEE"/>
    <w:rsid w:val="00675690"/>
    <w:rsid w:val="006A02F0"/>
    <w:rsid w:val="006A5CC1"/>
    <w:rsid w:val="006A5EDC"/>
    <w:rsid w:val="006B042C"/>
    <w:rsid w:val="006B0EA1"/>
    <w:rsid w:val="006E2413"/>
    <w:rsid w:val="00763978"/>
    <w:rsid w:val="0078592F"/>
    <w:rsid w:val="007D5CEF"/>
    <w:rsid w:val="007F6EA6"/>
    <w:rsid w:val="007F7F9F"/>
    <w:rsid w:val="0086510A"/>
    <w:rsid w:val="00893048"/>
    <w:rsid w:val="00894E0D"/>
    <w:rsid w:val="00902227"/>
    <w:rsid w:val="00942F3D"/>
    <w:rsid w:val="00995CE6"/>
    <w:rsid w:val="009E42E0"/>
    <w:rsid w:val="00A06EE3"/>
    <w:rsid w:val="00A862BF"/>
    <w:rsid w:val="00B073EB"/>
    <w:rsid w:val="00B256AE"/>
    <w:rsid w:val="00B30558"/>
    <w:rsid w:val="00B3253D"/>
    <w:rsid w:val="00B43920"/>
    <w:rsid w:val="00B8135A"/>
    <w:rsid w:val="00BB2637"/>
    <w:rsid w:val="00BD0015"/>
    <w:rsid w:val="00BD3A85"/>
    <w:rsid w:val="00BF24D2"/>
    <w:rsid w:val="00C852BF"/>
    <w:rsid w:val="00CB2D37"/>
    <w:rsid w:val="00CC4BBC"/>
    <w:rsid w:val="00CC7B46"/>
    <w:rsid w:val="00CD579E"/>
    <w:rsid w:val="00D1651F"/>
    <w:rsid w:val="00D47714"/>
    <w:rsid w:val="00D63A0E"/>
    <w:rsid w:val="00D65C2A"/>
    <w:rsid w:val="00D92DD0"/>
    <w:rsid w:val="00DC3AB2"/>
    <w:rsid w:val="00DF5891"/>
    <w:rsid w:val="00DF65E9"/>
    <w:rsid w:val="00E66EB8"/>
    <w:rsid w:val="00E6706C"/>
    <w:rsid w:val="00E825F7"/>
    <w:rsid w:val="00EF6470"/>
    <w:rsid w:val="00F315AC"/>
    <w:rsid w:val="00F63CA5"/>
    <w:rsid w:val="00F81065"/>
    <w:rsid w:val="00FA0F37"/>
    <w:rsid w:val="00FC6480"/>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A62A-479E-4AEB-9C40-9602BF76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13592</Words>
  <Characters>7749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8</cp:revision>
  <cp:lastPrinted>2022-03-23T08:06:00Z</cp:lastPrinted>
  <dcterms:created xsi:type="dcterms:W3CDTF">2023-01-17T09:27:00Z</dcterms:created>
  <dcterms:modified xsi:type="dcterms:W3CDTF">2023-01-30T17:58:00Z</dcterms:modified>
</cp:coreProperties>
</file>