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14F" w:rsidRPr="00F50702" w:rsidRDefault="001A214F" w:rsidP="00F50702">
      <w:pPr>
        <w:spacing w:after="0"/>
        <w:ind w:left="609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50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Додаток № </w:t>
      </w:r>
      <w:r w:rsidR="00FE4946" w:rsidRPr="00F507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1A214F" w:rsidRPr="00F50702" w:rsidRDefault="00F50702" w:rsidP="00F50702">
      <w:pPr>
        <w:spacing w:after="0"/>
        <w:ind w:left="609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0702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="001A214F" w:rsidRPr="00F50702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F507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тендерної </w:t>
      </w:r>
      <w:r w:rsidR="001A214F" w:rsidRPr="00F507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документації</w:t>
      </w:r>
    </w:p>
    <w:p w:rsidR="001A214F" w:rsidRPr="001A214F" w:rsidRDefault="001A214F" w:rsidP="001A214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828E9" w:rsidRPr="000E34BD" w:rsidRDefault="001A214F" w:rsidP="00CF40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4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Технічні, якісні та інші характеристики предмета закупівлі</w:t>
      </w:r>
    </w:p>
    <w:p w:rsidR="001A214F" w:rsidRPr="000E34BD" w:rsidRDefault="001A214F" w:rsidP="00CF4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14F" w:rsidRDefault="001A214F" w:rsidP="00CF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Загальна кількість</w:t>
      </w:r>
      <w:r w:rsidR="00CF59F4">
        <w:rPr>
          <w:rFonts w:ascii="Times New Roman" w:hAnsi="Times New Roman" w:cs="Times New Roman"/>
          <w:sz w:val="24"/>
          <w:szCs w:val="24"/>
        </w:rPr>
        <w:t xml:space="preserve">, обсяги постачання </w:t>
      </w:r>
      <w:r w:rsidR="007236D7" w:rsidRPr="000E34BD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№1</w:t>
      </w:r>
      <w:r w:rsidR="00C4609B" w:rsidRPr="000E34B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CF59F4" w:rsidRPr="001A214F">
        <w:rPr>
          <w:rFonts w:ascii="Times New Roman" w:hAnsi="Times New Roman" w:cs="Times New Roman"/>
          <w:sz w:val="24"/>
          <w:szCs w:val="24"/>
        </w:rPr>
        <w:t xml:space="preserve"> </w:t>
      </w:r>
      <w:r w:rsidR="00C460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</w:t>
      </w:r>
      <w:r w:rsidR="00C4609B" w:rsidRPr="0039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остачання теплової енергії (централізоване опалення)</w:t>
      </w:r>
      <w:r w:rsidR="00C4609B" w:rsidRPr="00390EA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4609B" w:rsidRPr="00390EA7">
        <w:rPr>
          <w:rFonts w:ascii="Times New Roman" w:hAnsi="Times New Roman" w:cs="Times New Roman"/>
          <w:b/>
          <w:snapToGrid w:val="0"/>
          <w:sz w:val="24"/>
          <w:szCs w:val="24"/>
        </w:rPr>
        <w:t>для закладів освіти та дитячого будинку «Центр захисту дитини» м. Славутич</w:t>
      </w:r>
      <w:r w:rsidR="00C4609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4609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(к</w:t>
      </w:r>
      <w:r w:rsidR="00C4609B" w:rsidRPr="00BA56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од ДК </w:t>
      </w:r>
      <w:r w:rsidR="00C4609B" w:rsidRPr="00BA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021:2015 </w:t>
      </w:r>
      <w:r w:rsidR="00C4609B" w:rsidRPr="00BA562E">
        <w:rPr>
          <w:rFonts w:ascii="Times New Roman" w:hAnsi="Times New Roman" w:cs="Times New Roman"/>
          <w:bCs/>
          <w:sz w:val="24"/>
          <w:szCs w:val="24"/>
          <w:lang w:eastAsia="ar-SA"/>
        </w:rPr>
        <w:t>09320000-8 «Пара, гаряча вода та пов’язана продукція»</w:t>
      </w:r>
      <w:r w:rsidR="00C4609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 w:rsidR="00CF59F4">
        <w:rPr>
          <w:rFonts w:ascii="Times New Roman" w:hAnsi="Times New Roman" w:cs="Times New Roman"/>
          <w:sz w:val="24"/>
          <w:szCs w:val="24"/>
        </w:rPr>
        <w:t>по об’єктах Замовника</w:t>
      </w:r>
      <w:r w:rsidR="008062AF">
        <w:rPr>
          <w:rFonts w:ascii="Times New Roman" w:hAnsi="Times New Roman" w:cs="Times New Roman"/>
          <w:sz w:val="24"/>
          <w:szCs w:val="24"/>
        </w:rPr>
        <w:t>:</w:t>
      </w:r>
    </w:p>
    <w:p w:rsidR="00CF409F" w:rsidRDefault="00CF409F" w:rsidP="00CF4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2AF" w:rsidRPr="00054842" w:rsidRDefault="008062AF" w:rsidP="00CF409F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</w:t>
      </w:r>
      <w:r w:rsidRPr="00054842">
        <w:rPr>
          <w:rFonts w:ascii="Times New Roman" w:eastAsia="Calibri" w:hAnsi="Times New Roman"/>
          <w:i/>
          <w:sz w:val="24"/>
          <w:szCs w:val="24"/>
        </w:rPr>
        <w:t>аблиця 1</w:t>
      </w:r>
      <w:r w:rsidR="000E34BD">
        <w:rPr>
          <w:rFonts w:ascii="Times New Roman" w:eastAsia="Calibri" w:hAnsi="Times New Roman"/>
          <w:i/>
          <w:sz w:val="24"/>
          <w:szCs w:val="24"/>
        </w:rPr>
        <w:t>.1.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2"/>
        <w:gridCol w:w="2613"/>
        <w:gridCol w:w="1276"/>
        <w:gridCol w:w="5893"/>
      </w:tblGrid>
      <w:tr w:rsidR="008062AF" w:rsidRPr="000E374C" w:rsidTr="00C4609B">
        <w:trPr>
          <w:trHeight w:val="351"/>
        </w:trPr>
        <w:tc>
          <w:tcPr>
            <w:tcW w:w="10314" w:type="dxa"/>
            <w:gridSpan w:val="4"/>
            <w:vAlign w:val="center"/>
          </w:tcPr>
          <w:p w:rsidR="008062AF" w:rsidRPr="000E374C" w:rsidRDefault="008062AF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  <w:r w:rsidRPr="000E374C">
              <w:rPr>
                <w:b/>
              </w:rPr>
              <w:t>Загальна характеристика предмета закупівлі</w:t>
            </w:r>
            <w:r w:rsidR="007236D7">
              <w:rPr>
                <w:b/>
              </w:rPr>
              <w:t xml:space="preserve"> (лот №1)</w:t>
            </w:r>
          </w:p>
        </w:tc>
      </w:tr>
      <w:tr w:rsidR="008062AF" w:rsidRPr="000E374C" w:rsidTr="00C4609B">
        <w:tc>
          <w:tcPr>
            <w:tcW w:w="532" w:type="dxa"/>
            <w:vAlign w:val="center"/>
          </w:tcPr>
          <w:p w:rsidR="008062AF" w:rsidRPr="000E374C" w:rsidRDefault="008062AF" w:rsidP="008818CD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2613" w:type="dxa"/>
            <w:vAlign w:val="center"/>
          </w:tcPr>
          <w:p w:rsidR="008062AF" w:rsidRPr="000E374C" w:rsidRDefault="008062AF" w:rsidP="008818CD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>Найменування предмета закупівлі</w:t>
            </w:r>
          </w:p>
        </w:tc>
        <w:tc>
          <w:tcPr>
            <w:tcW w:w="1276" w:type="dxa"/>
            <w:vAlign w:val="center"/>
          </w:tcPr>
          <w:p w:rsidR="008062AF" w:rsidRPr="000E374C" w:rsidRDefault="008062AF" w:rsidP="00CF409F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 xml:space="preserve">Кількість, </w:t>
            </w:r>
            <w:proofErr w:type="spellStart"/>
            <w:r w:rsidRPr="000E374C">
              <w:rPr>
                <w:b/>
              </w:rPr>
              <w:t>Гкал</w:t>
            </w:r>
            <w:proofErr w:type="spellEnd"/>
          </w:p>
        </w:tc>
        <w:tc>
          <w:tcPr>
            <w:tcW w:w="5893" w:type="dxa"/>
            <w:vAlign w:val="center"/>
          </w:tcPr>
          <w:p w:rsidR="008062AF" w:rsidRPr="000E374C" w:rsidRDefault="008062AF" w:rsidP="00CF409F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>Місце поставки</w:t>
            </w:r>
          </w:p>
        </w:tc>
      </w:tr>
      <w:tr w:rsidR="000E374C" w:rsidRPr="000E374C" w:rsidTr="00C4609B">
        <w:tc>
          <w:tcPr>
            <w:tcW w:w="532" w:type="dxa"/>
            <w:vMerge w:val="restart"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lang w:eastAsia="en-US"/>
              </w:rPr>
            </w:pPr>
            <w:r w:rsidRPr="000E3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3" w:type="dxa"/>
            <w:vMerge w:val="restart"/>
            <w:vAlign w:val="center"/>
          </w:tcPr>
          <w:p w:rsidR="006B1319" w:rsidRDefault="000E374C" w:rsidP="00FE4946">
            <w:pPr>
              <w:tabs>
                <w:tab w:val="left" w:pos="7335"/>
              </w:tabs>
              <w:jc w:val="center"/>
              <w:rPr>
                <w:b/>
                <w:lang w:eastAsia="ar-SA"/>
              </w:rPr>
            </w:pPr>
            <w:r w:rsidRPr="000E374C">
              <w:rPr>
                <w:b/>
                <w:bCs/>
                <w:color w:val="000000"/>
                <w:shd w:val="clear" w:color="auto" w:fill="FDFEFD"/>
              </w:rPr>
              <w:t xml:space="preserve">постачання теплової енергії (централізоване опалення) </w:t>
            </w:r>
            <w:r w:rsidRPr="000E374C">
              <w:rPr>
                <w:b/>
              </w:rPr>
              <w:t xml:space="preserve">для закладів освіти та </w:t>
            </w:r>
            <w:r w:rsidRPr="000E374C">
              <w:rPr>
                <w:b/>
                <w:snapToGrid w:val="0"/>
              </w:rPr>
              <w:t>дитячого будинку «Центр захисту дитини» м. Славутич</w:t>
            </w:r>
            <w:r w:rsidRPr="000E374C">
              <w:rPr>
                <w:b/>
                <w:lang w:eastAsia="ar-SA"/>
              </w:rPr>
              <w:t xml:space="preserve"> </w:t>
            </w:r>
          </w:p>
          <w:p w:rsidR="000E374C" w:rsidRPr="000E374C" w:rsidRDefault="006B1319" w:rsidP="00FE4946">
            <w:pPr>
              <w:tabs>
                <w:tab w:val="left" w:pos="7335"/>
              </w:tabs>
              <w:jc w:val="center"/>
              <w:rPr>
                <w:rFonts w:eastAsia="Calibri"/>
                <w:b/>
                <w:i/>
                <w:lang w:eastAsia="en-US"/>
              </w:rPr>
            </w:pPr>
            <w:r>
              <w:rPr>
                <w:bCs/>
                <w:lang w:eastAsia="ar-SA"/>
              </w:rPr>
              <w:t>(</w:t>
            </w:r>
            <w:r w:rsidRPr="006B1319">
              <w:rPr>
                <w:bCs/>
                <w:lang w:eastAsia="ar-SA"/>
              </w:rPr>
              <w:t xml:space="preserve">код </w:t>
            </w:r>
            <w:r w:rsidR="000E374C" w:rsidRPr="000E374C">
              <w:rPr>
                <w:lang w:eastAsia="ar-SA"/>
              </w:rPr>
              <w:t>ДК 021:2015  09320000-8 «Пара, гаряча вода та пов’язана продукція»</w:t>
            </w:r>
            <w:r>
              <w:rPr>
                <w:lang w:eastAsia="ar-SA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0E374C" w:rsidRPr="000E374C" w:rsidRDefault="006B1319" w:rsidP="008818CD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3714,8002</w:t>
            </w: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 xml:space="preserve">Славутицький заклад загальної середньої освіти I-II ступенів </w:t>
            </w:r>
            <w:r w:rsidR="00DF21DD">
              <w:t xml:space="preserve">№1 </w:t>
            </w:r>
            <w:r w:rsidRPr="000E374C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проспект Незалежності, 19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Default="000E374C" w:rsidP="00131C50">
            <w:pPr>
              <w:jc w:val="both"/>
            </w:pPr>
            <w:r w:rsidRPr="000E374C">
              <w:t xml:space="preserve">Славутицький заклад загальної середньої освіти I-II ступенів </w:t>
            </w:r>
            <w:r w:rsidR="00DF21DD">
              <w:t xml:space="preserve">№2 </w:t>
            </w:r>
            <w:r w:rsidRPr="000E374C">
              <w:t xml:space="preserve">Славутицької міської ради Вишгородського району Київської області </w:t>
            </w:r>
          </w:p>
          <w:p w:rsidR="00DF21DD" w:rsidRPr="000E374C" w:rsidRDefault="00DF21DD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вул. Атомників, 17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Default="000E374C" w:rsidP="00131C50">
            <w:pPr>
              <w:jc w:val="both"/>
            </w:pPr>
            <w:r w:rsidRPr="000E374C">
              <w:t xml:space="preserve">Славутицький заклад загальної середньої освіти I-II ступенів </w:t>
            </w:r>
            <w:r w:rsidR="00DF21DD">
              <w:t xml:space="preserve">№3 </w:t>
            </w:r>
            <w:r w:rsidRPr="000E374C">
              <w:t xml:space="preserve">Славутицької міської ради Вишгородського району Київської області </w:t>
            </w:r>
          </w:p>
          <w:p w:rsidR="00DF21DD" w:rsidRPr="000E374C" w:rsidRDefault="00DF21DD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проспект Незалежності, 1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 xml:space="preserve">Славутицький заклад загальної середньої освіти I-II ступенів </w:t>
            </w:r>
            <w:r w:rsidR="00DF21DD">
              <w:t xml:space="preserve">№4 </w:t>
            </w:r>
            <w:r w:rsidRPr="000E374C">
              <w:t xml:space="preserve">Славутицької міської ради Вишгородського району Київської області 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вул. Героїв Дніпра,8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proofErr w:type="spellStart"/>
            <w:r w:rsidRPr="000E374C">
              <w:t>Славутицький</w:t>
            </w:r>
            <w:proofErr w:type="spellEnd"/>
            <w:r w:rsidRPr="000E374C">
              <w:t xml:space="preserve"> Ліцей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вул. Героїв Дніпра, 6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№1 «Калинка»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Деснянський  квартал, 6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комбінованого типу «Центр розвитку дитини»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 xml:space="preserve">07101, Україна, Київська обл., Вишгородський р-н, місто Славутич, </w:t>
            </w:r>
            <w:proofErr w:type="spellStart"/>
            <w:r w:rsidRPr="000E374C">
              <w:t>Вільнюськи</w:t>
            </w:r>
            <w:proofErr w:type="spellEnd"/>
            <w:r w:rsidRPr="000E374C">
              <w:t xml:space="preserve"> квартал, 1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№4 «Марите»</w:t>
            </w:r>
            <w:r w:rsidR="000E34BD">
              <w:t xml:space="preserve"> 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 Ризький квартал, 1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№5 «Джерельце»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lastRenderedPageBreak/>
              <w:t>07101, Україна, Київська обл., Вишгородський р-н, місто Славутич, Київський  квартал, 15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№6 «</w:t>
            </w:r>
            <w:proofErr w:type="spellStart"/>
            <w:r w:rsidRPr="000E374C">
              <w:t>Крунк</w:t>
            </w:r>
            <w:proofErr w:type="spellEnd"/>
            <w:r w:rsidRPr="000E374C">
              <w:t>»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Єреванський квартал, 14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Заклад дошкільної освіти (ясла-садок) №8 «Теремок»</w:t>
            </w:r>
            <w:r w:rsidR="000E34BD">
              <w:t xml:space="preserve"> </w:t>
            </w:r>
            <w:r w:rsidR="000E34BD" w:rsidRPr="00DC6231">
              <w:t>Славутицької міської ради Вишгородського району Київської області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обл., Вишгородський р-н, місто Славутич, Добринінський квартал,  2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Default="000E374C" w:rsidP="00131C50">
            <w:pPr>
              <w:jc w:val="both"/>
            </w:pPr>
            <w:r w:rsidRPr="000E374C">
              <w:t xml:space="preserve">Палац дітей та молоді </w:t>
            </w:r>
            <w:r w:rsidRPr="000E374C">
              <w:rPr>
                <w:bCs/>
                <w:color w:val="050505"/>
                <w:shd w:val="clear" w:color="auto" w:fill="FFFFFF"/>
              </w:rPr>
              <w:t>Славутицької міської ради Вишгородського району</w:t>
            </w:r>
            <w:r w:rsidRPr="000E374C">
              <w:t xml:space="preserve"> Київської області </w:t>
            </w:r>
            <w:r w:rsidR="000E34BD">
              <w:t xml:space="preserve"> </w:t>
            </w:r>
          </w:p>
          <w:p w:rsidR="00DF21DD" w:rsidRPr="000E374C" w:rsidRDefault="00DF21DD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область, Вишгородський р-н, місто Славутич, вулиця Збройних Сил України, 1</w:t>
            </w:r>
          </w:p>
        </w:tc>
      </w:tr>
      <w:tr w:rsidR="000E374C" w:rsidRPr="000E374C" w:rsidTr="00C4609B">
        <w:tc>
          <w:tcPr>
            <w:tcW w:w="532" w:type="dxa"/>
            <w:vMerge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E374C" w:rsidRPr="000E374C" w:rsidRDefault="000E374C" w:rsidP="008818CD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0E374C" w:rsidRPr="000E374C" w:rsidRDefault="000E374C" w:rsidP="00131C50">
            <w:pPr>
              <w:jc w:val="both"/>
            </w:pPr>
            <w:r w:rsidRPr="000E374C">
              <w:t>Дитячий будинок «Центр захисту дітей» С</w:t>
            </w:r>
            <w:r w:rsidRPr="000E374C">
              <w:rPr>
                <w:bCs/>
                <w:color w:val="050505"/>
                <w:shd w:val="clear" w:color="auto" w:fill="FFFFFF"/>
              </w:rPr>
              <w:t>лавутицької міської ради Вишгородського району</w:t>
            </w:r>
            <w:r w:rsidRPr="000E374C">
              <w:t xml:space="preserve"> Київської області </w:t>
            </w:r>
          </w:p>
          <w:p w:rsidR="000E374C" w:rsidRPr="000E374C" w:rsidRDefault="000E374C" w:rsidP="00131C50">
            <w:pPr>
              <w:jc w:val="both"/>
            </w:pPr>
          </w:p>
          <w:p w:rsidR="000E374C" w:rsidRPr="000E374C" w:rsidRDefault="000E374C" w:rsidP="00131C50">
            <w:pPr>
              <w:jc w:val="both"/>
            </w:pPr>
            <w:r w:rsidRPr="000E374C">
              <w:t>07101, Україна, Київська область, Вишгородський р-н, місто Славутич, Бакинський квартал, 15</w:t>
            </w:r>
          </w:p>
        </w:tc>
      </w:tr>
    </w:tbl>
    <w:p w:rsidR="00CF409F" w:rsidRDefault="00CF409F" w:rsidP="00CF40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16A" w:rsidRPr="007236D7" w:rsidRDefault="00CF409F" w:rsidP="00CF409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616A" w:rsidRPr="00EF616A">
        <w:rPr>
          <w:rFonts w:ascii="Times New Roman" w:hAnsi="Times New Roman" w:cs="Times New Roman"/>
          <w:sz w:val="24"/>
          <w:szCs w:val="24"/>
        </w:rPr>
        <w:t xml:space="preserve">Загальна кількість  теплової енергії складає </w:t>
      </w:r>
      <w:r w:rsidR="00EF616A" w:rsidRPr="007236D7">
        <w:rPr>
          <w:rFonts w:ascii="Times New Roman" w:hAnsi="Times New Roman" w:cs="Times New Roman"/>
          <w:sz w:val="24"/>
          <w:szCs w:val="24"/>
        </w:rPr>
        <w:t xml:space="preserve">– </w:t>
      </w:r>
      <w:r w:rsidR="007236D7" w:rsidRPr="007236D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4609B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7236D7" w:rsidRPr="007236D7">
        <w:rPr>
          <w:rFonts w:ascii="Times New Roman" w:eastAsia="Calibri" w:hAnsi="Times New Roman" w:cs="Times New Roman"/>
          <w:b/>
          <w:sz w:val="24"/>
          <w:szCs w:val="24"/>
        </w:rPr>
        <w:t>714,8002</w:t>
      </w:r>
      <w:r w:rsidR="007236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EF616A" w:rsidRPr="007236D7">
        <w:rPr>
          <w:rFonts w:ascii="Times New Roman" w:hAnsi="Times New Roman" w:cs="Times New Roman"/>
          <w:b/>
          <w:bCs/>
          <w:sz w:val="24"/>
          <w:szCs w:val="24"/>
        </w:rPr>
        <w:t>Гкал</w:t>
      </w:r>
      <w:proofErr w:type="spellEnd"/>
      <w:r w:rsidR="00EF616A" w:rsidRPr="007236D7">
        <w:rPr>
          <w:rFonts w:ascii="Times New Roman" w:hAnsi="Times New Roman" w:cs="Times New Roman"/>
          <w:sz w:val="24"/>
          <w:szCs w:val="24"/>
        </w:rPr>
        <w:t>.</w:t>
      </w:r>
    </w:p>
    <w:p w:rsidR="00EF616A" w:rsidRPr="00EF616A" w:rsidRDefault="00EF616A" w:rsidP="00CF409F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2AF" w:rsidRDefault="008062AF" w:rsidP="008062AF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842">
        <w:rPr>
          <w:rFonts w:ascii="Times New Roman" w:hAnsi="Times New Roman"/>
          <w:sz w:val="24"/>
          <w:szCs w:val="24"/>
        </w:rPr>
        <w:t>Строк поставки теплової енергії:  з 01.01.202</w:t>
      </w:r>
      <w:r>
        <w:rPr>
          <w:rFonts w:ascii="Times New Roman" w:hAnsi="Times New Roman"/>
          <w:sz w:val="24"/>
          <w:szCs w:val="24"/>
        </w:rPr>
        <w:t>3</w:t>
      </w:r>
      <w:r w:rsidR="00C4609B">
        <w:rPr>
          <w:rFonts w:ascii="Times New Roman" w:hAnsi="Times New Roman"/>
          <w:sz w:val="24"/>
          <w:szCs w:val="24"/>
        </w:rPr>
        <w:t xml:space="preserve"> року</w:t>
      </w:r>
      <w:r w:rsidRPr="00054842">
        <w:rPr>
          <w:rFonts w:ascii="Times New Roman" w:hAnsi="Times New Roman"/>
          <w:sz w:val="24"/>
          <w:szCs w:val="24"/>
        </w:rPr>
        <w:t xml:space="preserve"> по </w:t>
      </w:r>
      <w:r w:rsidR="000E34BD">
        <w:rPr>
          <w:rFonts w:ascii="Times New Roman" w:hAnsi="Times New Roman"/>
          <w:sz w:val="24"/>
          <w:szCs w:val="24"/>
        </w:rPr>
        <w:t>31</w:t>
      </w:r>
      <w:r w:rsidRPr="00054842">
        <w:rPr>
          <w:rFonts w:ascii="Times New Roman" w:hAnsi="Times New Roman"/>
          <w:sz w:val="24"/>
          <w:szCs w:val="24"/>
        </w:rPr>
        <w:t>.</w:t>
      </w:r>
      <w:r w:rsidR="000E34BD">
        <w:rPr>
          <w:rFonts w:ascii="Times New Roman" w:hAnsi="Times New Roman"/>
          <w:sz w:val="24"/>
          <w:szCs w:val="24"/>
        </w:rPr>
        <w:t>12</w:t>
      </w:r>
      <w:r w:rsidRPr="000548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C4609B">
        <w:rPr>
          <w:rFonts w:ascii="Times New Roman" w:hAnsi="Times New Roman"/>
          <w:sz w:val="24"/>
          <w:szCs w:val="24"/>
        </w:rPr>
        <w:t xml:space="preserve"> року</w:t>
      </w:r>
      <w:r w:rsidRPr="00054842">
        <w:rPr>
          <w:rFonts w:ascii="Times New Roman" w:hAnsi="Times New Roman"/>
          <w:sz w:val="24"/>
          <w:szCs w:val="24"/>
        </w:rPr>
        <w:t>.</w:t>
      </w:r>
    </w:p>
    <w:p w:rsidR="00830B2F" w:rsidRDefault="00830B2F" w:rsidP="008062AF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2AF" w:rsidRPr="00054842" w:rsidRDefault="008062AF" w:rsidP="008062AF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</w:t>
      </w:r>
      <w:r w:rsidRPr="00054842">
        <w:rPr>
          <w:rFonts w:ascii="Times New Roman" w:eastAsia="Calibri" w:hAnsi="Times New Roman"/>
          <w:i/>
          <w:sz w:val="24"/>
          <w:szCs w:val="24"/>
        </w:rPr>
        <w:t xml:space="preserve">аблиця </w:t>
      </w:r>
      <w:r w:rsidR="000E34BD">
        <w:rPr>
          <w:rFonts w:ascii="Times New Roman" w:eastAsia="Calibri" w:hAnsi="Times New Roman"/>
          <w:i/>
          <w:sz w:val="24"/>
          <w:szCs w:val="24"/>
        </w:rPr>
        <w:t>1.</w:t>
      </w:r>
      <w:r>
        <w:rPr>
          <w:rFonts w:ascii="Times New Roman" w:eastAsia="Calibri" w:hAnsi="Times New Roman"/>
          <w:i/>
          <w:sz w:val="24"/>
          <w:szCs w:val="24"/>
        </w:rPr>
        <w:t>2</w:t>
      </w:r>
      <w:r w:rsidR="000E34BD">
        <w:rPr>
          <w:rFonts w:ascii="Times New Roman" w:eastAsia="Calibri" w:hAnsi="Times New Roman"/>
          <w:i/>
          <w:sz w:val="24"/>
          <w:szCs w:val="24"/>
        </w:rPr>
        <w:t>.</w:t>
      </w:r>
    </w:p>
    <w:tbl>
      <w:tblPr>
        <w:tblW w:w="10223" w:type="dxa"/>
        <w:tblInd w:w="108" w:type="dxa"/>
        <w:tblLook w:val="04A0" w:firstRow="1" w:lastRow="0" w:firstColumn="1" w:lastColumn="0" w:noHBand="0" w:noVBand="1"/>
      </w:tblPr>
      <w:tblGrid>
        <w:gridCol w:w="559"/>
        <w:gridCol w:w="3694"/>
        <w:gridCol w:w="1211"/>
        <w:gridCol w:w="1211"/>
        <w:gridCol w:w="1095"/>
        <w:gridCol w:w="1092"/>
        <w:gridCol w:w="1325"/>
        <w:gridCol w:w="36"/>
      </w:tblGrid>
      <w:tr w:rsidR="002130A8" w:rsidRPr="00DF21DD" w:rsidTr="00C4609B">
        <w:trPr>
          <w:trHeight w:val="641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6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34BD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Обсяги споживання теплової енергії на 2023 р</w:t>
            </w:r>
            <w:proofErr w:type="spellStart"/>
            <w:r w:rsidR="000E34BD"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ік</w:t>
            </w:r>
            <w:proofErr w:type="spellEnd"/>
            <w:r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по закладах освіти м.</w:t>
            </w:r>
            <w:r w:rsidR="00C4609B"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 </w:t>
            </w:r>
            <w:r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Славутич</w:t>
            </w:r>
          </w:p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та ДБ </w:t>
            </w:r>
            <w:r w:rsidR="000E34BD"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ЦЗД</w:t>
            </w:r>
            <w:r w:rsidR="000E34BD" w:rsidRPr="00DF2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»</w:t>
            </w:r>
          </w:p>
        </w:tc>
      </w:tr>
      <w:tr w:rsidR="00C4609B" w:rsidRPr="00DF21DD" w:rsidTr="00C4609B">
        <w:trPr>
          <w:gridAfter w:val="1"/>
          <w:wAfter w:w="36" w:type="dxa"/>
          <w:trHeight w:val="5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№ </w:t>
            </w:r>
            <w:r w:rsidR="00131C50"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з</w:t>
            </w: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/п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Заклад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січень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лютий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березень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квітень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C50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Разом</w:t>
            </w:r>
            <w:r w:rsidR="00131C50"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,</w:t>
            </w:r>
          </w:p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Гкал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№1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Калинка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27,8705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27,0804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15,93050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3,9805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74,8619</w:t>
            </w:r>
          </w:p>
        </w:tc>
      </w:tr>
      <w:tr w:rsidR="00C4609B" w:rsidRPr="00DF21DD" w:rsidTr="00C4609B">
        <w:trPr>
          <w:gridAfter w:val="1"/>
          <w:wAfter w:w="36" w:type="dxa"/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комбінованого типу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Центр трозвитку дитини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80,331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63,8915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48,4007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19,3604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211,9836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№4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Марите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56,1295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57,0194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26,7291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9,8002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149,6782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№5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Джерельце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79,6802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73,7801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49,1901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19,6701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222,3205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№6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Крунк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67,0199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56,2623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40,2135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13,416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176,9117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№8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Теремок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71,8825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65,201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31,7605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10,0309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178,8749</w:t>
            </w:r>
          </w:p>
        </w:tc>
      </w:tr>
      <w:tr w:rsidR="00C4609B" w:rsidRPr="00DF21DD" w:rsidTr="00C4609B">
        <w:trPr>
          <w:gridAfter w:val="1"/>
          <w:wAfter w:w="36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№1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Славутицької міської ради Вишгородського району Київської області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182,96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176,65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115,67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84,1201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559,4001</w:t>
            </w:r>
          </w:p>
        </w:tc>
      </w:tr>
      <w:tr w:rsidR="00C4609B" w:rsidRPr="00DF21DD" w:rsidTr="00C4609B">
        <w:trPr>
          <w:gridAfter w:val="1"/>
          <w:wAfter w:w="36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>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№2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106,86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45,8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30,5402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285,7002</w:t>
            </w:r>
          </w:p>
        </w:tc>
      </w:tr>
      <w:tr w:rsidR="00C4609B" w:rsidRPr="00DF21DD" w:rsidTr="00C4609B">
        <w:trPr>
          <w:gridAfter w:val="1"/>
          <w:wAfter w:w="36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№3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175,47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148,55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43,0601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453,2001</w:t>
            </w:r>
          </w:p>
        </w:tc>
      </w:tr>
      <w:tr w:rsidR="00C4609B" w:rsidRPr="00DF21DD" w:rsidTr="00C4609B">
        <w:trPr>
          <w:gridAfter w:val="1"/>
          <w:wAfter w:w="36" w:type="dxa"/>
          <w:trHeight w:val="7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№4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160,85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157,72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75,2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39,6991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433,4691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Славутицький ліцей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124,5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105,67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41,85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31,3799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303,3999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DF2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Дитячий будинок </w:t>
            </w:r>
            <w:r w:rsidR="000E34B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Центр захист дітей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»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4B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280</w:t>
            </w:r>
          </w:p>
        </w:tc>
      </w:tr>
      <w:tr w:rsidR="00C4609B" w:rsidRPr="00DF21DD" w:rsidTr="00C4609B">
        <w:trPr>
          <w:gridAfter w:val="1"/>
          <w:wAfter w:w="36" w:type="dxa"/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30A8" w:rsidRPr="00DF21DD" w:rsidRDefault="002130A8" w:rsidP="002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Палац дітей та молоді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385</w:t>
            </w:r>
          </w:p>
        </w:tc>
      </w:tr>
      <w:tr w:rsidR="00C4609B" w:rsidRPr="00DF21DD" w:rsidTr="00C4609B">
        <w:trPr>
          <w:gridAfter w:val="1"/>
          <w:wAfter w:w="36" w:type="dxa"/>
          <w:trHeight w:val="36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30A8" w:rsidRPr="00DF21DD" w:rsidRDefault="002130A8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Усього</w:t>
            </w:r>
            <w:r w:rsidR="00131C50"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1399,5536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1272,3247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676,8644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366,0575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0A8" w:rsidRPr="00DF21DD" w:rsidRDefault="002130A8" w:rsidP="002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3714,8002</w:t>
            </w:r>
          </w:p>
        </w:tc>
      </w:tr>
    </w:tbl>
    <w:p w:rsidR="002130A8" w:rsidRDefault="002130A8" w:rsidP="00CF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09B" w:rsidRDefault="00C4609B" w:rsidP="00C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Загальна кількість, обсяги постачання </w:t>
      </w:r>
      <w:r w:rsidRPr="000E34BD">
        <w:rPr>
          <w:rFonts w:ascii="Times New Roman" w:hAnsi="Times New Roman" w:cs="Times New Roman"/>
          <w:b/>
          <w:bCs/>
          <w:sz w:val="24"/>
          <w:szCs w:val="24"/>
          <w:u w:val="single"/>
        </w:rPr>
        <w:t>Лот №2:</w:t>
      </w:r>
      <w:r w:rsidRPr="001A2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п</w:t>
      </w:r>
      <w:r w:rsidRPr="00390EA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>остачання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DFEFD"/>
        </w:rPr>
        <w:t xml:space="preserve"> гарячої води </w:t>
      </w:r>
      <w:r w:rsidRPr="00390EA7">
        <w:rPr>
          <w:rFonts w:ascii="Times New Roman" w:hAnsi="Times New Roman" w:cs="Times New Roman"/>
          <w:b/>
          <w:snapToGrid w:val="0"/>
          <w:sz w:val="24"/>
          <w:szCs w:val="24"/>
        </w:rPr>
        <w:t>для закладів освіти м. Славутич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(к</w:t>
      </w:r>
      <w:r w:rsidRPr="00BA562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од ДК </w:t>
      </w:r>
      <w:r w:rsidRPr="00BA56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021:2015 </w:t>
      </w:r>
      <w:r w:rsidRPr="00BA562E">
        <w:rPr>
          <w:rFonts w:ascii="Times New Roman" w:hAnsi="Times New Roman" w:cs="Times New Roman"/>
          <w:bCs/>
          <w:sz w:val="24"/>
          <w:szCs w:val="24"/>
          <w:lang w:eastAsia="ar-SA"/>
        </w:rPr>
        <w:t>09320000-8 «Пара, гаряча вода та пов’язана продукція»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об’єктах Замовника:</w:t>
      </w:r>
    </w:p>
    <w:p w:rsidR="00C4609B" w:rsidRDefault="00C4609B" w:rsidP="00C4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9B" w:rsidRPr="00054842" w:rsidRDefault="00C4609B" w:rsidP="00C4609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</w:t>
      </w:r>
      <w:r w:rsidRPr="00054842">
        <w:rPr>
          <w:rFonts w:ascii="Times New Roman" w:eastAsia="Calibri" w:hAnsi="Times New Roman"/>
          <w:i/>
          <w:sz w:val="24"/>
          <w:szCs w:val="24"/>
        </w:rPr>
        <w:t xml:space="preserve">аблиця </w:t>
      </w:r>
      <w:r w:rsidR="000E34BD">
        <w:rPr>
          <w:rFonts w:ascii="Times New Roman" w:eastAsia="Calibri" w:hAnsi="Times New Roman"/>
          <w:i/>
          <w:sz w:val="24"/>
          <w:szCs w:val="24"/>
        </w:rPr>
        <w:t>2.</w:t>
      </w:r>
      <w:r w:rsidRPr="00054842">
        <w:rPr>
          <w:rFonts w:ascii="Times New Roman" w:eastAsia="Calibri" w:hAnsi="Times New Roman"/>
          <w:i/>
          <w:sz w:val="24"/>
          <w:szCs w:val="24"/>
        </w:rPr>
        <w:t>1</w:t>
      </w:r>
      <w:r w:rsidR="000E34BD">
        <w:rPr>
          <w:rFonts w:ascii="Times New Roman" w:eastAsia="Calibri" w:hAnsi="Times New Roman"/>
          <w:i/>
          <w:sz w:val="24"/>
          <w:szCs w:val="24"/>
        </w:rPr>
        <w:t>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2"/>
        <w:gridCol w:w="2613"/>
        <w:gridCol w:w="1276"/>
        <w:gridCol w:w="5893"/>
      </w:tblGrid>
      <w:tr w:rsidR="00C4609B" w:rsidRPr="000E374C" w:rsidTr="00C4609B">
        <w:trPr>
          <w:trHeight w:val="351"/>
        </w:trPr>
        <w:tc>
          <w:tcPr>
            <w:tcW w:w="10314" w:type="dxa"/>
            <w:gridSpan w:val="4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  <w:r w:rsidRPr="000E374C">
              <w:rPr>
                <w:b/>
              </w:rPr>
              <w:t>Загальна характеристика предмета закупівлі</w:t>
            </w:r>
            <w:r>
              <w:rPr>
                <w:b/>
              </w:rPr>
              <w:t xml:space="preserve"> (лот №2)</w:t>
            </w:r>
          </w:p>
        </w:tc>
      </w:tr>
      <w:tr w:rsidR="00C4609B" w:rsidRPr="000E374C" w:rsidTr="00C4609B">
        <w:tc>
          <w:tcPr>
            <w:tcW w:w="532" w:type="dxa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rFonts w:eastAsia="Calibri"/>
                <w:b/>
                <w:lang w:eastAsia="en-US"/>
              </w:rPr>
              <w:t>№ з/п</w:t>
            </w:r>
          </w:p>
        </w:tc>
        <w:tc>
          <w:tcPr>
            <w:tcW w:w="2613" w:type="dxa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>Найменування предмета закупівлі</w:t>
            </w:r>
          </w:p>
        </w:tc>
        <w:tc>
          <w:tcPr>
            <w:tcW w:w="1276" w:type="dxa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 xml:space="preserve">Кількість, </w:t>
            </w:r>
            <w:r>
              <w:rPr>
                <w:b/>
              </w:rPr>
              <w:t>м</w:t>
            </w:r>
            <w:r w:rsidRPr="00C4609B">
              <w:rPr>
                <w:b/>
                <w:vertAlign w:val="superscript"/>
              </w:rPr>
              <w:t>3</w:t>
            </w:r>
          </w:p>
        </w:tc>
        <w:tc>
          <w:tcPr>
            <w:tcW w:w="5893" w:type="dxa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 w:rsidRPr="000E374C">
              <w:rPr>
                <w:b/>
              </w:rPr>
              <w:t>Місце поставки</w:t>
            </w:r>
          </w:p>
        </w:tc>
      </w:tr>
      <w:tr w:rsidR="00C4609B" w:rsidRPr="000E374C" w:rsidTr="00C4609B">
        <w:tc>
          <w:tcPr>
            <w:tcW w:w="532" w:type="dxa"/>
            <w:vMerge w:val="restart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lang w:eastAsia="en-US"/>
              </w:rPr>
            </w:pPr>
            <w:r w:rsidRPr="000E374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13" w:type="dxa"/>
            <w:vMerge w:val="restart"/>
            <w:vAlign w:val="center"/>
          </w:tcPr>
          <w:p w:rsidR="00131C50" w:rsidRDefault="00C4609B" w:rsidP="00131C50">
            <w:pPr>
              <w:tabs>
                <w:tab w:val="left" w:pos="7335"/>
              </w:tabs>
              <w:jc w:val="center"/>
              <w:rPr>
                <w:b/>
                <w:snapToGrid w:val="0"/>
              </w:rPr>
            </w:pPr>
            <w:r w:rsidRPr="00C4609B">
              <w:rPr>
                <w:b/>
                <w:bCs/>
                <w:color w:val="000000"/>
                <w:shd w:val="clear" w:color="auto" w:fill="FDFEFD"/>
              </w:rPr>
              <w:t xml:space="preserve">постачання гарячої води </w:t>
            </w:r>
            <w:r w:rsidRPr="00C4609B">
              <w:rPr>
                <w:b/>
                <w:snapToGrid w:val="0"/>
              </w:rPr>
              <w:t xml:space="preserve">для закладів м. Славутич </w:t>
            </w:r>
          </w:p>
          <w:p w:rsidR="00C4609B" w:rsidRPr="00C4609B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i/>
                <w:lang w:eastAsia="en-US"/>
              </w:rPr>
            </w:pPr>
            <w:r w:rsidRPr="00C4609B">
              <w:rPr>
                <w:bCs/>
              </w:rPr>
              <w:t xml:space="preserve">(код ДК </w:t>
            </w:r>
            <w:r w:rsidRPr="00C4609B">
              <w:rPr>
                <w:bCs/>
                <w:color w:val="000000"/>
              </w:rPr>
              <w:t xml:space="preserve">021:2015 </w:t>
            </w:r>
            <w:r w:rsidRPr="00C4609B">
              <w:rPr>
                <w:bCs/>
                <w:lang w:eastAsia="ar-SA"/>
              </w:rPr>
              <w:t>09320000-8 «Пара, гаряча вода та пов’язана продукція»)</w:t>
            </w:r>
          </w:p>
        </w:tc>
        <w:tc>
          <w:tcPr>
            <w:tcW w:w="1276" w:type="dxa"/>
            <w:vMerge w:val="restart"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7 931</w:t>
            </w: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proofErr w:type="spellStart"/>
            <w:r w:rsidRPr="000E374C">
              <w:t>Славутицький</w:t>
            </w:r>
            <w:proofErr w:type="spellEnd"/>
            <w:r w:rsidRPr="000E374C">
              <w:t xml:space="preserve"> заклад загальної середньої освіти I-II ступенів </w:t>
            </w:r>
            <w:r w:rsidR="00DF21DD">
              <w:t xml:space="preserve">№1 </w:t>
            </w:r>
            <w:r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проспект Незалежності, 19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proofErr w:type="spellStart"/>
            <w:r w:rsidRPr="000E374C">
              <w:t>Славутицький</w:t>
            </w:r>
            <w:proofErr w:type="spellEnd"/>
            <w:r w:rsidRPr="000E374C">
              <w:t xml:space="preserve"> заклад загальної середньої освіти I-II ступенів </w:t>
            </w:r>
            <w:r w:rsidR="00DF21DD">
              <w:t xml:space="preserve">№2 </w:t>
            </w:r>
            <w:r w:rsidRPr="000E374C">
              <w:t xml:space="preserve">Славутицької міської ради Вишгородського району Київської області 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вул. Атомників, 17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proofErr w:type="spellStart"/>
            <w:r w:rsidRPr="000E374C">
              <w:t>Славутицький</w:t>
            </w:r>
            <w:proofErr w:type="spellEnd"/>
            <w:r w:rsidRPr="000E374C">
              <w:t xml:space="preserve"> заклад загальної середньої освіти I-II ступенів </w:t>
            </w:r>
            <w:r w:rsidR="00DF21DD">
              <w:t xml:space="preserve">№3 </w:t>
            </w:r>
            <w:r w:rsidRPr="000E374C">
              <w:t xml:space="preserve">Славутицької міської ради Вишгородського району Київської області 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проспект Незалежності, 1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№1 «Калинка»</w:t>
            </w:r>
            <w:r w:rsidR="00DF21DD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Деснянський  квартал, 6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комбінованого типу «Центр розвитку дитини»</w:t>
            </w:r>
            <w:r w:rsidR="00DF21DD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 xml:space="preserve">07101, Україна, Київська обл., Вишгородський р-н, місто Славутич, </w:t>
            </w:r>
            <w:proofErr w:type="spellStart"/>
            <w:r w:rsidRPr="000E374C">
              <w:t>Вільнюськи</w:t>
            </w:r>
            <w:proofErr w:type="spellEnd"/>
            <w:r w:rsidRPr="000E374C">
              <w:t xml:space="preserve"> квартал, 1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№4 «Марите»</w:t>
            </w:r>
            <w:r w:rsidR="00DF21DD">
              <w:t xml:space="preserve"> </w:t>
            </w:r>
            <w:r w:rsidR="00DF21DD" w:rsidRPr="000E374C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 Ризький квартал, 1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  <w:lang w:eastAsia="en-US"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№5 «Джерельце»</w:t>
            </w:r>
            <w:r w:rsidR="00DF21DD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Київський  квартал, 15</w:t>
            </w:r>
          </w:p>
        </w:tc>
      </w:tr>
      <w:tr w:rsidR="00C4609B" w:rsidRPr="000E374C" w:rsidTr="00C4609B"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№6 «</w:t>
            </w:r>
            <w:proofErr w:type="spellStart"/>
            <w:r w:rsidRPr="000E374C">
              <w:t>Крунк</w:t>
            </w:r>
            <w:proofErr w:type="spellEnd"/>
            <w:r w:rsidRPr="000E374C">
              <w:t>»</w:t>
            </w:r>
            <w:r w:rsidR="00DF21DD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>07101, Україна, Київська обл., Вишгородський р-н, місто Славутич, Єреванський квартал, 14</w:t>
            </w:r>
          </w:p>
        </w:tc>
      </w:tr>
      <w:tr w:rsidR="00C4609B" w:rsidRPr="000E374C" w:rsidTr="00C4609B">
        <w:trPr>
          <w:trHeight w:val="882"/>
        </w:trPr>
        <w:tc>
          <w:tcPr>
            <w:tcW w:w="532" w:type="dxa"/>
            <w:vMerge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2613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C4609B" w:rsidRPr="000E374C" w:rsidRDefault="00C4609B" w:rsidP="00131C50">
            <w:pPr>
              <w:tabs>
                <w:tab w:val="left" w:pos="7335"/>
              </w:tabs>
              <w:jc w:val="center"/>
              <w:rPr>
                <w:rFonts w:eastAsia="Calibri"/>
                <w:i/>
              </w:rPr>
            </w:pPr>
          </w:p>
        </w:tc>
        <w:tc>
          <w:tcPr>
            <w:tcW w:w="5893" w:type="dxa"/>
          </w:tcPr>
          <w:p w:rsidR="00C4609B" w:rsidRPr="000E374C" w:rsidRDefault="00C4609B" w:rsidP="00131C50">
            <w:pPr>
              <w:jc w:val="both"/>
            </w:pPr>
            <w:r w:rsidRPr="000E374C">
              <w:t>Заклад дошкільної освіти (ясла-садок) №8 «Теремок»</w:t>
            </w:r>
            <w:r w:rsidR="00DF21DD">
              <w:t xml:space="preserve"> </w:t>
            </w:r>
            <w:r w:rsidR="00DF21DD" w:rsidRPr="000E374C">
              <w:t>Славутицької міської ради Вишгородського району Київської області</w:t>
            </w:r>
          </w:p>
          <w:p w:rsidR="00C4609B" w:rsidRPr="000E374C" w:rsidRDefault="00C4609B" w:rsidP="00131C50">
            <w:pPr>
              <w:jc w:val="both"/>
            </w:pPr>
          </w:p>
          <w:p w:rsidR="00C4609B" w:rsidRPr="000E374C" w:rsidRDefault="00C4609B" w:rsidP="00131C50">
            <w:pPr>
              <w:jc w:val="both"/>
            </w:pPr>
            <w:r w:rsidRPr="000E374C">
              <w:t xml:space="preserve">07101, Україна, Київська обл., Вишгородський р-н, місто Славутич, </w:t>
            </w:r>
            <w:proofErr w:type="spellStart"/>
            <w:r w:rsidRPr="000E374C">
              <w:t>Добринінський</w:t>
            </w:r>
            <w:proofErr w:type="spellEnd"/>
            <w:r w:rsidRPr="000E374C">
              <w:t xml:space="preserve"> квартал,  2</w:t>
            </w:r>
          </w:p>
        </w:tc>
      </w:tr>
    </w:tbl>
    <w:p w:rsidR="00C4609B" w:rsidRDefault="00C4609B" w:rsidP="00C460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09B" w:rsidRPr="007236D7" w:rsidRDefault="00C4609B" w:rsidP="00C4609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16A">
        <w:rPr>
          <w:rFonts w:ascii="Times New Roman" w:hAnsi="Times New Roman" w:cs="Times New Roman"/>
          <w:sz w:val="24"/>
          <w:szCs w:val="24"/>
        </w:rPr>
        <w:t xml:space="preserve">Загальна кількість  </w:t>
      </w:r>
      <w:r>
        <w:rPr>
          <w:rFonts w:ascii="Times New Roman" w:hAnsi="Times New Roman" w:cs="Times New Roman"/>
          <w:sz w:val="24"/>
          <w:szCs w:val="24"/>
        </w:rPr>
        <w:t>гарячої води</w:t>
      </w:r>
      <w:r w:rsidRPr="00EF616A">
        <w:rPr>
          <w:rFonts w:ascii="Times New Roman" w:hAnsi="Times New Roman" w:cs="Times New Roman"/>
          <w:sz w:val="24"/>
          <w:szCs w:val="24"/>
        </w:rPr>
        <w:t xml:space="preserve"> складає </w:t>
      </w:r>
      <w:r w:rsidRPr="007236D7">
        <w:rPr>
          <w:rFonts w:ascii="Times New Roman" w:hAnsi="Times New Roman" w:cs="Times New Roman"/>
          <w:sz w:val="24"/>
          <w:szCs w:val="24"/>
        </w:rPr>
        <w:t>–</w:t>
      </w:r>
      <w:r w:rsidRPr="007236D7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> 931м</w:t>
      </w:r>
      <w:r w:rsidRPr="00C4609B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3</w:t>
      </w:r>
      <w:r w:rsidRPr="007236D7">
        <w:rPr>
          <w:rFonts w:ascii="Times New Roman" w:hAnsi="Times New Roman" w:cs="Times New Roman"/>
          <w:sz w:val="24"/>
          <w:szCs w:val="24"/>
        </w:rPr>
        <w:t>.</w:t>
      </w:r>
    </w:p>
    <w:p w:rsidR="00C4609B" w:rsidRPr="00EF616A" w:rsidRDefault="00C4609B" w:rsidP="00C4609B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09B" w:rsidRDefault="00C4609B" w:rsidP="00C4609B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4842">
        <w:rPr>
          <w:rFonts w:ascii="Times New Roman" w:hAnsi="Times New Roman"/>
          <w:sz w:val="24"/>
          <w:szCs w:val="24"/>
        </w:rPr>
        <w:t xml:space="preserve">Строк поставки </w:t>
      </w:r>
      <w:r>
        <w:rPr>
          <w:rFonts w:ascii="Times New Roman" w:hAnsi="Times New Roman"/>
          <w:sz w:val="24"/>
          <w:szCs w:val="24"/>
        </w:rPr>
        <w:t>гарячої води</w:t>
      </w:r>
      <w:r w:rsidRPr="00054842">
        <w:rPr>
          <w:rFonts w:ascii="Times New Roman" w:hAnsi="Times New Roman"/>
          <w:sz w:val="24"/>
          <w:szCs w:val="24"/>
        </w:rPr>
        <w:t>:  з 01.01.202</w:t>
      </w:r>
      <w:r>
        <w:rPr>
          <w:rFonts w:ascii="Times New Roman" w:hAnsi="Times New Roman"/>
          <w:sz w:val="24"/>
          <w:szCs w:val="24"/>
        </w:rPr>
        <w:t>3</w:t>
      </w:r>
      <w:r w:rsidRPr="00054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 </w:t>
      </w:r>
      <w:r w:rsidRPr="00054842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31</w:t>
      </w:r>
      <w:r w:rsidRPr="000548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05484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 року</w:t>
      </w:r>
      <w:r w:rsidRPr="00054842">
        <w:rPr>
          <w:rFonts w:ascii="Times New Roman" w:hAnsi="Times New Roman"/>
          <w:sz w:val="24"/>
          <w:szCs w:val="24"/>
        </w:rPr>
        <w:t>.</w:t>
      </w:r>
    </w:p>
    <w:p w:rsidR="00131C50" w:rsidRDefault="00131C50" w:rsidP="00C4609B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31C50" w:rsidSect="00BC1F9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4609B" w:rsidRDefault="00C4609B" w:rsidP="00C4609B">
      <w:pPr>
        <w:tabs>
          <w:tab w:val="left" w:pos="7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609B" w:rsidRPr="00054842" w:rsidRDefault="00C4609B" w:rsidP="00C4609B">
      <w:pPr>
        <w:tabs>
          <w:tab w:val="left" w:pos="7335"/>
        </w:tabs>
        <w:spacing w:after="0" w:line="240" w:lineRule="auto"/>
        <w:jc w:val="right"/>
        <w:rPr>
          <w:rFonts w:ascii="Times New Roman" w:eastAsia="Calibri" w:hAnsi="Times New Roman"/>
          <w:i/>
          <w:sz w:val="24"/>
          <w:szCs w:val="24"/>
        </w:rPr>
      </w:pPr>
      <w:r>
        <w:rPr>
          <w:rFonts w:ascii="Times New Roman" w:eastAsia="Calibri" w:hAnsi="Times New Roman"/>
          <w:i/>
          <w:sz w:val="24"/>
          <w:szCs w:val="24"/>
        </w:rPr>
        <w:t>Т</w:t>
      </w:r>
      <w:r w:rsidRPr="00054842">
        <w:rPr>
          <w:rFonts w:ascii="Times New Roman" w:eastAsia="Calibri" w:hAnsi="Times New Roman"/>
          <w:i/>
          <w:sz w:val="24"/>
          <w:szCs w:val="24"/>
        </w:rPr>
        <w:t xml:space="preserve">аблиця </w:t>
      </w:r>
      <w:r>
        <w:rPr>
          <w:rFonts w:ascii="Times New Roman" w:eastAsia="Calibri" w:hAnsi="Times New Roman"/>
          <w:i/>
          <w:sz w:val="24"/>
          <w:szCs w:val="24"/>
        </w:rPr>
        <w:t>2</w:t>
      </w:r>
      <w:r w:rsidR="000E34BD">
        <w:rPr>
          <w:rFonts w:ascii="Times New Roman" w:eastAsia="Calibri" w:hAnsi="Times New Roman"/>
          <w:i/>
          <w:sz w:val="24"/>
          <w:szCs w:val="24"/>
        </w:rPr>
        <w:t>.2.</w:t>
      </w:r>
    </w:p>
    <w:p w:rsidR="00C4609B" w:rsidRDefault="00C4609B" w:rsidP="00C46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70" w:type="dxa"/>
        <w:tblInd w:w="108" w:type="dxa"/>
        <w:tblLook w:val="04A0" w:firstRow="1" w:lastRow="0" w:firstColumn="1" w:lastColumn="0" w:noHBand="0" w:noVBand="1"/>
      </w:tblPr>
      <w:tblGrid>
        <w:gridCol w:w="2869"/>
        <w:gridCol w:w="839"/>
        <w:gridCol w:w="847"/>
        <w:gridCol w:w="1028"/>
        <w:gridCol w:w="933"/>
        <w:gridCol w:w="979"/>
        <w:gridCol w:w="981"/>
        <w:gridCol w:w="906"/>
        <w:gridCol w:w="986"/>
        <w:gridCol w:w="1041"/>
        <w:gridCol w:w="1030"/>
        <w:gridCol w:w="1084"/>
        <w:gridCol w:w="966"/>
        <w:gridCol w:w="1081"/>
      </w:tblGrid>
      <w:tr w:rsidR="00131C50" w:rsidRPr="00131C50" w:rsidTr="002F0061">
        <w:trPr>
          <w:trHeight w:val="315"/>
        </w:trPr>
        <w:tc>
          <w:tcPr>
            <w:tcW w:w="15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0E34BD" w:rsidRDefault="00131C50" w:rsidP="001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0E3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Обсяги споживаннягарячої води на 2023 рік по закладах освіти м. Славутич:</w:t>
            </w:r>
          </w:p>
        </w:tc>
      </w:tr>
      <w:tr w:rsidR="00131C50" w:rsidRPr="00131C50" w:rsidTr="002F0061">
        <w:trPr>
          <w:trHeight w:val="375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</w:tr>
      <w:tr w:rsidR="00131C50" w:rsidRPr="00131C50" w:rsidTr="002F0061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Заклад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Січень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Лютий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Березень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Квітень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Травень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Червень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Липень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Серпень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Вересень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Жовтень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Листопад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Грудень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4E2961" w:rsidRDefault="00131C50" w:rsidP="002F0061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На рік</w:t>
            </w:r>
            <w:r w:rsidR="004E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,</w:t>
            </w:r>
            <w:r w:rsidR="004E2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E2961"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м</w:t>
            </w:r>
            <w:r w:rsidR="004E2961"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/>
              </w:rPr>
              <w:t>3</w:t>
            </w:r>
          </w:p>
        </w:tc>
      </w:tr>
      <w:tr w:rsidR="00131C50" w:rsidRPr="00131C50" w:rsidTr="002F0061">
        <w:trPr>
          <w:trHeight w:val="5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№1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Калинка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535</w:t>
            </w:r>
          </w:p>
        </w:tc>
      </w:tr>
      <w:tr w:rsidR="00131C50" w:rsidRPr="00131C50" w:rsidTr="002F0061">
        <w:trPr>
          <w:trHeight w:val="76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комбінованого типу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Центр трозвитку дитини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915</w:t>
            </w:r>
          </w:p>
        </w:tc>
      </w:tr>
      <w:tr w:rsidR="00131C50" w:rsidRPr="00131C50" w:rsidTr="002F0061">
        <w:trPr>
          <w:trHeight w:val="5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№4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Марите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196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867</w:t>
            </w:r>
          </w:p>
        </w:tc>
      </w:tr>
      <w:tr w:rsidR="00131C50" w:rsidRPr="00131C50" w:rsidTr="002F0061">
        <w:trPr>
          <w:trHeight w:val="5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№5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Джерельце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882</w:t>
            </w:r>
          </w:p>
        </w:tc>
      </w:tr>
      <w:tr w:rsidR="00131C50" w:rsidRPr="00131C50" w:rsidTr="002F0061">
        <w:trPr>
          <w:trHeight w:val="5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№6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Крунк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1009</w:t>
            </w:r>
          </w:p>
        </w:tc>
      </w:tr>
      <w:tr w:rsidR="00131C50" w:rsidRPr="00131C50" w:rsidTr="002F0061">
        <w:trPr>
          <w:trHeight w:val="51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Заклад дошкільної освіти (ясла-садок) №8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«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Теремок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» </w:t>
            </w:r>
            <w:r w:rsidR="00DF21DD" w:rsidRPr="00DF21DD">
              <w:rPr>
                <w:rFonts w:ascii="Times New Roman" w:hAnsi="Times New Roman" w:cs="Times New Roman"/>
                <w:sz w:val="20"/>
                <w:szCs w:val="20"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324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234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1843</w:t>
            </w:r>
          </w:p>
        </w:tc>
      </w:tr>
      <w:tr w:rsidR="00131C50" w:rsidRPr="00131C50" w:rsidTr="002F0061">
        <w:trPr>
          <w:trHeight w:val="127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lastRenderedPageBreak/>
              <w:t xml:space="preserve">Славутицький заклад загальної середньої освіти I-II ступенів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№1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Славутицької міської ради Вишгородського району Київської області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780</w:t>
            </w:r>
          </w:p>
        </w:tc>
      </w:tr>
      <w:tr w:rsidR="00131C50" w:rsidRPr="00131C50" w:rsidTr="002F0061">
        <w:trPr>
          <w:trHeight w:val="127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№2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Славутицької міської ради Вишгородського району Київської області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46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460</w:t>
            </w:r>
          </w:p>
        </w:tc>
      </w:tr>
      <w:tr w:rsidR="00131C50" w:rsidRPr="00131C50" w:rsidTr="002F0061">
        <w:trPr>
          <w:trHeight w:val="127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DF21DD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Славутицький заклад загальної середньої освіти I-II ступенів </w:t>
            </w:r>
            <w:r w:rsidR="00DF21DD"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№3 </w:t>
            </w:r>
            <w:r w:rsidRPr="00DF21DD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Славутицької міської ради Вишгородського району Київської області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110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640</w:t>
            </w:r>
          </w:p>
        </w:tc>
      </w:tr>
      <w:tr w:rsidR="00131C50" w:rsidRPr="00131C50" w:rsidTr="002F0061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Усього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1405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1262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1259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909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694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1296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C50" w:rsidRPr="00131C50" w:rsidRDefault="00131C50" w:rsidP="00131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131C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>7931</w:t>
            </w:r>
          </w:p>
        </w:tc>
      </w:tr>
    </w:tbl>
    <w:p w:rsidR="002130A8" w:rsidRDefault="002130A8" w:rsidP="00CF5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C50" w:rsidRDefault="00131C50" w:rsidP="00CF59F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31C50" w:rsidSect="00131C50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CF59F4" w:rsidRDefault="00131C50" w:rsidP="00CF59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F59F4" w:rsidRPr="00CF59F4">
        <w:rPr>
          <w:rFonts w:ascii="Times New Roman" w:hAnsi="Times New Roman" w:cs="Times New Roman"/>
          <w:sz w:val="24"/>
          <w:szCs w:val="24"/>
        </w:rPr>
        <w:t xml:space="preserve">. </w:t>
      </w:r>
      <w:r w:rsidR="00CF59F4" w:rsidRPr="00CF59F4">
        <w:rPr>
          <w:rFonts w:ascii="Times New Roman" w:hAnsi="Times New Roman" w:cs="Times New Roman"/>
          <w:sz w:val="24"/>
          <w:szCs w:val="24"/>
          <w:lang w:eastAsia="ar-SA"/>
        </w:rPr>
        <w:t>Якість послуг, які повинн</w:t>
      </w:r>
      <w:r w:rsidR="00D56329">
        <w:rPr>
          <w:rFonts w:ascii="Times New Roman" w:hAnsi="Times New Roman" w:cs="Times New Roman"/>
          <w:sz w:val="24"/>
          <w:szCs w:val="24"/>
          <w:lang w:eastAsia="ar-SA"/>
        </w:rPr>
        <w:t>і</w:t>
      </w:r>
      <w:r w:rsidR="00CF59F4" w:rsidRPr="00CF59F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56329">
        <w:rPr>
          <w:rFonts w:ascii="Times New Roman" w:hAnsi="Times New Roman" w:cs="Times New Roman"/>
          <w:sz w:val="24"/>
          <w:szCs w:val="24"/>
          <w:lang w:eastAsia="ar-SA"/>
        </w:rPr>
        <w:t xml:space="preserve">бути </w:t>
      </w:r>
      <w:r w:rsidR="00CF59F4" w:rsidRPr="00CF59F4">
        <w:rPr>
          <w:rFonts w:ascii="Times New Roman" w:hAnsi="Times New Roman" w:cs="Times New Roman"/>
          <w:sz w:val="24"/>
          <w:szCs w:val="24"/>
          <w:lang w:eastAsia="ar-SA"/>
        </w:rPr>
        <w:t>переда</w:t>
      </w:r>
      <w:r w:rsidR="00D56329">
        <w:rPr>
          <w:rFonts w:ascii="Times New Roman" w:hAnsi="Times New Roman" w:cs="Times New Roman"/>
          <w:sz w:val="24"/>
          <w:szCs w:val="24"/>
          <w:lang w:eastAsia="ar-SA"/>
        </w:rPr>
        <w:t>ні</w:t>
      </w:r>
      <w:r w:rsidR="00CF59F4" w:rsidRPr="00CF59F4">
        <w:rPr>
          <w:rFonts w:ascii="Times New Roman" w:hAnsi="Times New Roman" w:cs="Times New Roman"/>
          <w:sz w:val="24"/>
          <w:szCs w:val="24"/>
          <w:lang w:eastAsia="ar-SA"/>
        </w:rPr>
        <w:t xml:space="preserve"> (постав</w:t>
      </w:r>
      <w:r w:rsidR="00D56329">
        <w:rPr>
          <w:rFonts w:ascii="Times New Roman" w:hAnsi="Times New Roman" w:cs="Times New Roman"/>
          <w:sz w:val="24"/>
          <w:szCs w:val="24"/>
          <w:lang w:eastAsia="ar-SA"/>
        </w:rPr>
        <w:t>лені</w:t>
      </w:r>
      <w:r w:rsidR="00CF59F4" w:rsidRPr="00CF59F4">
        <w:rPr>
          <w:rFonts w:ascii="Times New Roman" w:hAnsi="Times New Roman" w:cs="Times New Roman"/>
          <w:sz w:val="24"/>
          <w:szCs w:val="24"/>
          <w:lang w:eastAsia="ar-SA"/>
        </w:rPr>
        <w:t>) Замовнику, повинна відповідати вимогам таких документів:</w:t>
      </w:r>
    </w:p>
    <w:p w:rsidR="00DF21DD" w:rsidRDefault="00DF21DD" w:rsidP="00CF59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DF21DD" w:rsidTr="00DF21DD">
        <w:tc>
          <w:tcPr>
            <w:tcW w:w="5097" w:type="dxa"/>
          </w:tcPr>
          <w:p w:rsidR="00DF21DD" w:rsidRPr="00DF21DD" w:rsidRDefault="00DF21DD" w:rsidP="00DF21D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21DD">
              <w:rPr>
                <w:b/>
                <w:bCs/>
                <w:sz w:val="24"/>
                <w:szCs w:val="24"/>
                <w:lang w:eastAsia="ar-SA"/>
              </w:rPr>
              <w:t>Для лоту №1:</w:t>
            </w:r>
          </w:p>
        </w:tc>
        <w:tc>
          <w:tcPr>
            <w:tcW w:w="5098" w:type="dxa"/>
          </w:tcPr>
          <w:p w:rsidR="00DF21DD" w:rsidRPr="00DF21DD" w:rsidRDefault="00DF21DD" w:rsidP="00DF21DD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DF21DD">
              <w:rPr>
                <w:b/>
                <w:bCs/>
                <w:sz w:val="24"/>
                <w:szCs w:val="24"/>
                <w:lang w:eastAsia="ar-SA"/>
              </w:rPr>
              <w:t>Для лоту №2:</w:t>
            </w:r>
          </w:p>
        </w:tc>
      </w:tr>
      <w:tr w:rsidR="00DF21DD" w:rsidTr="00DF21DD">
        <w:tc>
          <w:tcPr>
            <w:tcW w:w="5097" w:type="dxa"/>
          </w:tcPr>
          <w:p w:rsidR="00DF21DD" w:rsidRPr="0086608C" w:rsidRDefault="00DF21DD" w:rsidP="00DF21DD">
            <w:pPr>
              <w:ind w:firstLine="306"/>
              <w:jc w:val="both"/>
              <w:rPr>
                <w:sz w:val="24"/>
                <w:szCs w:val="24"/>
                <w:lang w:eastAsia="ar-SA"/>
              </w:rPr>
            </w:pPr>
            <w:r w:rsidRPr="0086608C">
              <w:rPr>
                <w:sz w:val="24"/>
                <w:szCs w:val="24"/>
                <w:lang w:eastAsia="ar-SA"/>
              </w:rPr>
              <w:t xml:space="preserve">- Законам </w:t>
            </w:r>
            <w:r w:rsidRPr="0086608C">
              <w:rPr>
                <w:sz w:val="24"/>
                <w:szCs w:val="24"/>
              </w:rPr>
              <w:t xml:space="preserve">України «Про житлово-комунальні послуги», «Про теплопостачання», </w:t>
            </w:r>
            <w:r w:rsidRPr="0086608C">
              <w:rPr>
                <w:sz w:val="24"/>
                <w:szCs w:val="24"/>
                <w:lang w:eastAsia="ar-SA"/>
              </w:rPr>
              <w:t>«Про комерційний облік теплової енергії та водопостачання»;</w:t>
            </w:r>
          </w:p>
          <w:p w:rsidR="00DF21DD" w:rsidRPr="0086608C" w:rsidRDefault="00DF21DD" w:rsidP="00DF21DD">
            <w:pPr>
              <w:ind w:firstLine="306"/>
              <w:jc w:val="both"/>
              <w:rPr>
                <w:sz w:val="24"/>
                <w:szCs w:val="24"/>
                <w:lang w:eastAsia="ar-SA"/>
              </w:rPr>
            </w:pPr>
            <w:r w:rsidRPr="0086608C">
              <w:rPr>
                <w:sz w:val="24"/>
                <w:szCs w:val="24"/>
                <w:lang w:eastAsia="ar-SA"/>
              </w:rPr>
              <w:t xml:space="preserve">- ДБН В. 2. 5-67:2013 «Опалення, вентиляція та кондиціонування»; </w:t>
            </w:r>
          </w:p>
          <w:p w:rsidR="00DF21DD" w:rsidRPr="0086608C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 w:rsidRPr="0086608C">
              <w:rPr>
                <w:sz w:val="24"/>
                <w:szCs w:val="24"/>
              </w:rPr>
              <w:t>- ДБН В.2.5.-64:2012 «Внутрішній водопровід та каналізація. Частина І. Проектування. Частина ІІ. Будівництво»;</w:t>
            </w:r>
          </w:p>
          <w:p w:rsidR="00DF21DD" w:rsidRPr="0086608C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 w:rsidRPr="0086608C">
              <w:rPr>
                <w:sz w:val="24"/>
                <w:szCs w:val="24"/>
              </w:rPr>
              <w:t>- Правил користування тепловою енергією;</w:t>
            </w:r>
          </w:p>
          <w:p w:rsidR="00DF21DD" w:rsidRPr="008062AF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 w:rsidRPr="0086608C">
              <w:rPr>
                <w:sz w:val="24"/>
                <w:szCs w:val="24"/>
              </w:rPr>
              <w:t>- Правил технічної експлуатації теплоспоживальних установок і теплових мереж;</w:t>
            </w:r>
          </w:p>
          <w:p w:rsidR="00DF21DD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 w:rsidRPr="008062AF">
              <w:rPr>
                <w:sz w:val="24"/>
                <w:szCs w:val="24"/>
              </w:rPr>
              <w:t>- та іншим нормативно-правовим актам, що регулюють відповідні правовідносини.</w:t>
            </w:r>
          </w:p>
        </w:tc>
        <w:tc>
          <w:tcPr>
            <w:tcW w:w="5098" w:type="dxa"/>
          </w:tcPr>
          <w:p w:rsidR="00DF21DD" w:rsidRDefault="00DF21DD" w:rsidP="00DF21DD">
            <w:pPr>
              <w:ind w:firstLine="306"/>
              <w:jc w:val="both"/>
              <w:rPr>
                <w:sz w:val="24"/>
                <w:szCs w:val="24"/>
                <w:lang w:eastAsia="ar-SA"/>
              </w:rPr>
            </w:pPr>
            <w:r w:rsidRPr="0086608C">
              <w:rPr>
                <w:sz w:val="24"/>
                <w:szCs w:val="24"/>
                <w:lang w:eastAsia="ar-SA"/>
              </w:rPr>
              <w:t xml:space="preserve">- Законам </w:t>
            </w:r>
            <w:r w:rsidRPr="0086608C">
              <w:rPr>
                <w:sz w:val="24"/>
                <w:szCs w:val="24"/>
              </w:rPr>
              <w:t xml:space="preserve">України «Про житлово-комунальні послуги», </w:t>
            </w:r>
            <w:bookmarkStart w:id="0" w:name="_Hlk122042330"/>
            <w:r w:rsidRPr="0086608C">
              <w:rPr>
                <w:sz w:val="24"/>
                <w:szCs w:val="24"/>
                <w:lang w:eastAsia="ar-SA"/>
              </w:rPr>
              <w:t>«Про комерційний облік теплової енергії та водопостачання»</w:t>
            </w:r>
            <w:bookmarkEnd w:id="0"/>
            <w:r>
              <w:rPr>
                <w:sz w:val="24"/>
                <w:szCs w:val="24"/>
                <w:lang w:eastAsia="ar-SA"/>
              </w:rPr>
              <w:t>;</w:t>
            </w:r>
          </w:p>
          <w:p w:rsidR="00DF21DD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- </w:t>
            </w:r>
            <w:r w:rsidRPr="0086608C">
              <w:rPr>
                <w:sz w:val="24"/>
                <w:szCs w:val="24"/>
              </w:rPr>
              <w:t>ДБН В.2.5.-64:2012 «Внутрішній водопровід та каналізація. Частина І. Проектування. Частина ІІ. Будівництво»;</w:t>
            </w:r>
          </w:p>
          <w:p w:rsidR="00DF21DD" w:rsidRDefault="00DF21DD" w:rsidP="00DF21DD">
            <w:pPr>
              <w:ind w:firstLine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bookmarkStart w:id="1" w:name="_Hlk122042283"/>
            <w:r>
              <w:rPr>
                <w:sz w:val="24"/>
                <w:szCs w:val="24"/>
              </w:rPr>
              <w:t>Правил надання послуги з постачання гарячої води та типових договорів про надання послуги з постачання гарячої води</w:t>
            </w:r>
            <w:bookmarkEnd w:id="1"/>
            <w:r>
              <w:rPr>
                <w:sz w:val="24"/>
                <w:szCs w:val="24"/>
              </w:rPr>
              <w:t>;</w:t>
            </w:r>
          </w:p>
          <w:p w:rsidR="00CF60C1" w:rsidRDefault="00CF60C1" w:rsidP="00DF21DD">
            <w:pPr>
              <w:ind w:firstLine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608C">
              <w:rPr>
                <w:sz w:val="24"/>
                <w:szCs w:val="24"/>
              </w:rPr>
              <w:t xml:space="preserve">Правил технічної експлуатації </w:t>
            </w:r>
            <w:proofErr w:type="spellStart"/>
            <w:r w:rsidRPr="0086608C">
              <w:rPr>
                <w:sz w:val="24"/>
                <w:szCs w:val="24"/>
              </w:rPr>
              <w:t>теплоспоживальних</w:t>
            </w:r>
            <w:proofErr w:type="spellEnd"/>
            <w:r w:rsidRPr="0086608C">
              <w:rPr>
                <w:sz w:val="24"/>
                <w:szCs w:val="24"/>
              </w:rPr>
              <w:t xml:space="preserve"> установок і теплових мереж;</w:t>
            </w:r>
          </w:p>
          <w:p w:rsidR="00DF21DD" w:rsidRDefault="00DF21DD" w:rsidP="00CF60C1">
            <w:pPr>
              <w:ind w:firstLine="306"/>
              <w:jc w:val="both"/>
              <w:rPr>
                <w:sz w:val="24"/>
                <w:szCs w:val="24"/>
                <w:lang w:eastAsia="ar-SA"/>
              </w:rPr>
            </w:pPr>
            <w:r w:rsidRPr="008062AF">
              <w:rPr>
                <w:sz w:val="24"/>
                <w:szCs w:val="24"/>
              </w:rPr>
              <w:t>- та іншим нормативно-правовим актам, що регулюють відповідні правовідносини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F21DD" w:rsidRDefault="00DF21DD" w:rsidP="00CF59F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A214F" w:rsidRPr="0037398A" w:rsidRDefault="00641E1D" w:rsidP="001A214F">
      <w:pPr>
        <w:pStyle w:val="1"/>
        <w:jc w:val="both"/>
        <w:rPr>
          <w:b/>
          <w:bCs/>
          <w:sz w:val="24"/>
          <w:szCs w:val="24"/>
        </w:rPr>
      </w:pPr>
      <w:r w:rsidRPr="0037398A">
        <w:rPr>
          <w:b/>
          <w:bCs/>
          <w:sz w:val="24"/>
          <w:szCs w:val="24"/>
        </w:rPr>
        <w:t>3</w:t>
      </w:r>
      <w:r w:rsidR="001A214F" w:rsidRPr="0037398A">
        <w:rPr>
          <w:b/>
          <w:bCs/>
          <w:sz w:val="24"/>
          <w:szCs w:val="24"/>
        </w:rPr>
        <w:t>. Умови постачання теплової енергії</w:t>
      </w:r>
      <w:r w:rsidR="0037398A" w:rsidRPr="0037398A">
        <w:rPr>
          <w:b/>
          <w:bCs/>
          <w:sz w:val="24"/>
          <w:szCs w:val="24"/>
        </w:rPr>
        <w:t xml:space="preserve"> (для лоту №1</w:t>
      </w:r>
      <w:r w:rsidR="0037398A">
        <w:rPr>
          <w:b/>
          <w:bCs/>
          <w:sz w:val="24"/>
          <w:szCs w:val="24"/>
        </w:rPr>
        <w:t>)</w:t>
      </w:r>
      <w:r w:rsidR="001A214F" w:rsidRPr="0037398A">
        <w:rPr>
          <w:b/>
          <w:bCs/>
          <w:sz w:val="24"/>
          <w:szCs w:val="24"/>
        </w:rPr>
        <w:t>:</w:t>
      </w:r>
    </w:p>
    <w:p w:rsidR="009E3C64" w:rsidRDefault="00641E1D" w:rsidP="001A214F">
      <w:pPr>
        <w:pStyle w:val="10"/>
        <w:tabs>
          <w:tab w:val="left" w:pos="3261"/>
        </w:tabs>
        <w:rPr>
          <w:szCs w:val="24"/>
        </w:rPr>
      </w:pPr>
      <w:r>
        <w:rPr>
          <w:szCs w:val="24"/>
        </w:rPr>
        <w:t>3</w:t>
      </w:r>
      <w:r w:rsidR="001A214F" w:rsidRPr="001A214F">
        <w:rPr>
          <w:szCs w:val="24"/>
        </w:rPr>
        <w:t xml:space="preserve">.1. </w:t>
      </w:r>
      <w:r w:rsidR="009E3C64" w:rsidRPr="009045A5">
        <w:rPr>
          <w:szCs w:val="24"/>
        </w:rPr>
        <w:t>Постачання теплової енергії повинно бути безперебійним протягом усього опалювального сезону, з гарантованим рівнем безпеки, обсягу, температури та величини тиску.</w:t>
      </w:r>
    </w:p>
    <w:p w:rsidR="008062AF" w:rsidRDefault="008062AF" w:rsidP="001A214F">
      <w:pPr>
        <w:pStyle w:val="10"/>
        <w:tabs>
          <w:tab w:val="left" w:pos="3261"/>
        </w:tabs>
        <w:rPr>
          <w:szCs w:val="24"/>
        </w:rPr>
      </w:pPr>
      <w:r>
        <w:rPr>
          <w:szCs w:val="24"/>
        </w:rPr>
        <w:t xml:space="preserve">3.2. </w:t>
      </w:r>
      <w:r w:rsidRPr="00EF68F7">
        <w:rPr>
          <w:rFonts w:eastAsia="Calibri"/>
          <w:szCs w:val="24"/>
        </w:rPr>
        <w:t>Учасник повинен забезпечити своєчасний початок і закінчення постачання теплової енергії під час опалювального сезону.</w:t>
      </w:r>
    </w:p>
    <w:p w:rsidR="009E3C64" w:rsidRDefault="009E3C64" w:rsidP="001A214F">
      <w:pPr>
        <w:pStyle w:val="10"/>
        <w:tabs>
          <w:tab w:val="left" w:pos="3261"/>
        </w:tabs>
        <w:rPr>
          <w:szCs w:val="24"/>
        </w:rPr>
      </w:pPr>
      <w:r>
        <w:rPr>
          <w:szCs w:val="24"/>
        </w:rPr>
        <w:t>3.</w:t>
      </w:r>
      <w:r w:rsidR="00D56329">
        <w:rPr>
          <w:szCs w:val="24"/>
        </w:rPr>
        <w:t>3</w:t>
      </w:r>
      <w:r>
        <w:rPr>
          <w:szCs w:val="24"/>
        </w:rPr>
        <w:t xml:space="preserve">. </w:t>
      </w:r>
      <w:r w:rsidRPr="009045A5">
        <w:rPr>
          <w:szCs w:val="24"/>
        </w:rPr>
        <w:t>Температура повітря у приміщеннях має відповідати нормативній температурі повітря в опалювальних приміщеннях, будівлях.</w:t>
      </w:r>
    </w:p>
    <w:p w:rsidR="001A214F" w:rsidRDefault="009E3C64" w:rsidP="001A214F">
      <w:pPr>
        <w:pStyle w:val="10"/>
        <w:tabs>
          <w:tab w:val="left" w:pos="3261"/>
        </w:tabs>
        <w:rPr>
          <w:szCs w:val="24"/>
        </w:rPr>
      </w:pPr>
      <w:r>
        <w:rPr>
          <w:szCs w:val="24"/>
        </w:rPr>
        <w:t>3.</w:t>
      </w:r>
      <w:r w:rsidR="00D56329">
        <w:rPr>
          <w:szCs w:val="24"/>
        </w:rPr>
        <w:t>4</w:t>
      </w:r>
      <w:r>
        <w:rPr>
          <w:szCs w:val="24"/>
        </w:rPr>
        <w:t xml:space="preserve">. </w:t>
      </w:r>
      <w:r w:rsidR="001A214F" w:rsidRPr="001A214F">
        <w:rPr>
          <w:szCs w:val="24"/>
        </w:rPr>
        <w:t xml:space="preserve">Усі нові або реконструйовані системи теплоспоживання Замовника,  до введення їх в роботу, повинні бути прийняті в експлуатацію </w:t>
      </w:r>
      <w:r w:rsidR="00D56329">
        <w:rPr>
          <w:szCs w:val="24"/>
        </w:rPr>
        <w:t>Учасником</w:t>
      </w:r>
      <w:r w:rsidR="001A214F" w:rsidRPr="001A214F">
        <w:rPr>
          <w:szCs w:val="24"/>
        </w:rPr>
        <w:t>, згідно з вимогами Правил користування тепловою енергією та Правил технічної експлуатації теплоспоживальних</w:t>
      </w:r>
      <w:r w:rsidR="001A214F" w:rsidRPr="00074F83">
        <w:rPr>
          <w:szCs w:val="24"/>
        </w:rPr>
        <w:t xml:space="preserve"> установок і теплових мереж з оформленням відповідного акта-допуску.</w:t>
      </w:r>
    </w:p>
    <w:p w:rsidR="0086608C" w:rsidRDefault="0086608C" w:rsidP="001A214F">
      <w:pPr>
        <w:pStyle w:val="10"/>
        <w:tabs>
          <w:tab w:val="left" w:pos="3261"/>
        </w:tabs>
        <w:rPr>
          <w:rFonts w:eastAsia="Calibri"/>
          <w:szCs w:val="24"/>
          <w:lang w:eastAsia="uk-UA"/>
        </w:rPr>
      </w:pPr>
      <w:r>
        <w:rPr>
          <w:szCs w:val="24"/>
        </w:rPr>
        <w:t xml:space="preserve">3.5. </w:t>
      </w:r>
      <w:r w:rsidRPr="00321EFD">
        <w:rPr>
          <w:rFonts w:eastAsia="Calibri"/>
          <w:szCs w:val="24"/>
          <w:lang w:eastAsia="uk-UA"/>
        </w:rPr>
        <w:t>Учасник несе відповідальність за технічне обслуговування теплових мереж в межах приміщень адміністративної будівлі.</w:t>
      </w:r>
    </w:p>
    <w:p w:rsidR="0086608C" w:rsidRDefault="0086608C" w:rsidP="001A214F">
      <w:pPr>
        <w:pStyle w:val="10"/>
        <w:tabs>
          <w:tab w:val="left" w:pos="3261"/>
        </w:tabs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uk-UA"/>
        </w:rPr>
        <w:t xml:space="preserve">3.6. </w:t>
      </w:r>
      <w:r w:rsidRPr="0040244B">
        <w:rPr>
          <w:rFonts w:eastAsia="Calibri"/>
          <w:szCs w:val="24"/>
          <w:lang w:eastAsia="en-US"/>
        </w:rPr>
        <w:t xml:space="preserve">Учасник процедури розраховує свою пропозицію із врахуванням необхідної кількості </w:t>
      </w:r>
      <w:proofErr w:type="spellStart"/>
      <w:r w:rsidRPr="0040244B">
        <w:rPr>
          <w:rFonts w:eastAsia="Calibri"/>
          <w:szCs w:val="24"/>
          <w:lang w:eastAsia="en-US"/>
        </w:rPr>
        <w:t>Гкал</w:t>
      </w:r>
      <w:proofErr w:type="spellEnd"/>
      <w:r w:rsidRPr="0040244B">
        <w:rPr>
          <w:rFonts w:eastAsia="Calibri"/>
          <w:szCs w:val="24"/>
          <w:lang w:eastAsia="en-US"/>
        </w:rPr>
        <w:t>, яка встановлена Замовником у даному оголошен</w:t>
      </w:r>
      <w:r>
        <w:rPr>
          <w:rFonts w:eastAsia="Calibri"/>
          <w:szCs w:val="24"/>
          <w:lang w:eastAsia="en-US"/>
        </w:rPr>
        <w:t>н</w:t>
      </w:r>
      <w:r w:rsidRPr="0040244B">
        <w:rPr>
          <w:rFonts w:eastAsia="Calibri"/>
          <w:szCs w:val="24"/>
          <w:lang w:eastAsia="en-US"/>
        </w:rPr>
        <w:t xml:space="preserve">і. Учаснику забороняється встановлювати будь – які інші платежі (абонентська плата та інше), які мають бути сплачені Замовником. У разі встановлення Учасником додаткових платежів, які будуть сплачуватися Замовником, окрім </w:t>
      </w:r>
      <w:proofErr w:type="spellStart"/>
      <w:r w:rsidRPr="0040244B">
        <w:rPr>
          <w:rFonts w:eastAsia="Calibri"/>
          <w:szCs w:val="24"/>
          <w:lang w:eastAsia="en-US"/>
        </w:rPr>
        <w:t>Гкал</w:t>
      </w:r>
      <w:proofErr w:type="spellEnd"/>
      <w:r w:rsidRPr="0040244B">
        <w:rPr>
          <w:rFonts w:eastAsia="Calibri"/>
          <w:szCs w:val="24"/>
          <w:lang w:eastAsia="en-US"/>
        </w:rPr>
        <w:t>, то така пропозиція буде відхилена, як така що не відповідає технічним, якісним та кількісним характеристикам предмета закупівлі</w:t>
      </w:r>
      <w:r>
        <w:rPr>
          <w:rFonts w:eastAsia="Calibri"/>
          <w:szCs w:val="24"/>
          <w:lang w:eastAsia="en-US"/>
        </w:rPr>
        <w:t>.</w:t>
      </w:r>
    </w:p>
    <w:p w:rsidR="0086608C" w:rsidRDefault="0086608C" w:rsidP="001A214F">
      <w:pPr>
        <w:pStyle w:val="10"/>
        <w:tabs>
          <w:tab w:val="left" w:pos="3261"/>
        </w:tabs>
        <w:rPr>
          <w:rFonts w:eastAsia="Calibri"/>
          <w:szCs w:val="24"/>
        </w:rPr>
      </w:pPr>
      <w:r>
        <w:rPr>
          <w:szCs w:val="24"/>
        </w:rPr>
        <w:t>3.7.</w:t>
      </w:r>
      <w:r w:rsidRPr="0086608C">
        <w:rPr>
          <w:rFonts w:eastAsia="Calibri"/>
          <w:szCs w:val="24"/>
        </w:rPr>
        <w:t xml:space="preserve"> </w:t>
      </w:r>
      <w:r w:rsidRPr="00EF68F7">
        <w:rPr>
          <w:rFonts w:eastAsia="Calibri"/>
          <w:szCs w:val="24"/>
        </w:rPr>
        <w:t>Учасник повинен забезпечити своєчасний початок і закінчення постачання теплової енергії під час опалювального сезону.</w:t>
      </w:r>
    </w:p>
    <w:p w:rsidR="001A214F" w:rsidRDefault="001A214F" w:rsidP="001A214F">
      <w:pPr>
        <w:pStyle w:val="10"/>
        <w:tabs>
          <w:tab w:val="left" w:pos="3261"/>
        </w:tabs>
        <w:rPr>
          <w:szCs w:val="24"/>
        </w:rPr>
      </w:pPr>
    </w:p>
    <w:p w:rsidR="0037398A" w:rsidRDefault="0037398A" w:rsidP="001A214F">
      <w:pPr>
        <w:pStyle w:val="10"/>
        <w:tabs>
          <w:tab w:val="left" w:pos="3261"/>
        </w:tabs>
        <w:rPr>
          <w:szCs w:val="24"/>
        </w:rPr>
      </w:pPr>
      <w:r>
        <w:rPr>
          <w:b/>
          <w:bCs/>
          <w:szCs w:val="24"/>
        </w:rPr>
        <w:t>4</w:t>
      </w:r>
      <w:r w:rsidRPr="0037398A">
        <w:rPr>
          <w:b/>
          <w:bCs/>
          <w:szCs w:val="24"/>
        </w:rPr>
        <w:t xml:space="preserve">. Умови постачання </w:t>
      </w:r>
      <w:r>
        <w:rPr>
          <w:b/>
          <w:bCs/>
          <w:szCs w:val="24"/>
        </w:rPr>
        <w:t xml:space="preserve">гарячої води </w:t>
      </w:r>
      <w:r w:rsidRPr="0037398A">
        <w:rPr>
          <w:b/>
          <w:bCs/>
          <w:szCs w:val="24"/>
        </w:rPr>
        <w:t>(для лоту №</w:t>
      </w:r>
      <w:r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 w:rsidRPr="0037398A">
        <w:rPr>
          <w:b/>
          <w:bCs/>
          <w:szCs w:val="24"/>
        </w:rPr>
        <w:t>:</w:t>
      </w:r>
    </w:p>
    <w:p w:rsidR="0037398A" w:rsidRDefault="0037398A" w:rsidP="001A214F">
      <w:pPr>
        <w:pStyle w:val="10"/>
        <w:tabs>
          <w:tab w:val="left" w:pos="3261"/>
        </w:tabs>
        <w:rPr>
          <w:szCs w:val="24"/>
        </w:rPr>
      </w:pPr>
      <w:r>
        <w:rPr>
          <w:szCs w:val="24"/>
        </w:rPr>
        <w:t>4.1. Усі нові або реконструйовані системи гарячого водопостачання Замовника, до введення їх в роботу, повинні бути прийняті в експлуатацію Виконавцем, згідно з вимогами Правил надання послуги з постачання гарячої води та типових договорів пр</w:t>
      </w:r>
      <w:r w:rsidR="00CF60C1">
        <w:rPr>
          <w:szCs w:val="24"/>
        </w:rPr>
        <w:t>о</w:t>
      </w:r>
      <w:r>
        <w:rPr>
          <w:szCs w:val="24"/>
        </w:rPr>
        <w:t xml:space="preserve"> надання послуги з постачання гарячої води та Правил технічної експлуатації </w:t>
      </w:r>
      <w:proofErr w:type="spellStart"/>
      <w:r>
        <w:rPr>
          <w:szCs w:val="24"/>
        </w:rPr>
        <w:t>теплоспоживальних</w:t>
      </w:r>
      <w:proofErr w:type="spellEnd"/>
      <w:r>
        <w:rPr>
          <w:szCs w:val="24"/>
        </w:rPr>
        <w:t xml:space="preserve"> установок і теплових мереж з оформленням відповідного </w:t>
      </w:r>
      <w:proofErr w:type="spellStart"/>
      <w:r>
        <w:rPr>
          <w:szCs w:val="24"/>
        </w:rPr>
        <w:t>акта</w:t>
      </w:r>
      <w:proofErr w:type="spellEnd"/>
      <w:r>
        <w:rPr>
          <w:szCs w:val="24"/>
        </w:rPr>
        <w:t>-допуску.</w:t>
      </w:r>
    </w:p>
    <w:p w:rsidR="0037398A" w:rsidRPr="00074F83" w:rsidRDefault="0037398A" w:rsidP="001A214F">
      <w:pPr>
        <w:pStyle w:val="10"/>
        <w:tabs>
          <w:tab w:val="left" w:pos="3261"/>
        </w:tabs>
        <w:rPr>
          <w:szCs w:val="24"/>
        </w:rPr>
      </w:pPr>
    </w:p>
    <w:p w:rsidR="001A214F" w:rsidRPr="0037398A" w:rsidRDefault="00CF60C1" w:rsidP="001A214F">
      <w:pPr>
        <w:pStyle w:val="1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="001A214F" w:rsidRPr="0037398A">
        <w:rPr>
          <w:b/>
          <w:bCs/>
          <w:szCs w:val="24"/>
        </w:rPr>
        <w:t>. Облік теплової енергії</w:t>
      </w:r>
      <w:r w:rsidR="0037398A" w:rsidRPr="0037398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або</w:t>
      </w:r>
      <w:r w:rsidR="0037398A">
        <w:rPr>
          <w:b/>
          <w:bCs/>
          <w:szCs w:val="24"/>
        </w:rPr>
        <w:t xml:space="preserve"> гарячої води </w:t>
      </w:r>
      <w:r w:rsidR="0037398A" w:rsidRPr="0037398A">
        <w:rPr>
          <w:b/>
          <w:bCs/>
          <w:szCs w:val="24"/>
        </w:rPr>
        <w:t>(для лоту №1</w:t>
      </w:r>
      <w:r w:rsidR="0037398A">
        <w:rPr>
          <w:b/>
          <w:bCs/>
          <w:szCs w:val="24"/>
        </w:rPr>
        <w:t>,</w:t>
      </w:r>
      <w:r w:rsidR="008D2663">
        <w:rPr>
          <w:b/>
          <w:bCs/>
          <w:szCs w:val="24"/>
        </w:rPr>
        <w:t xml:space="preserve"> </w:t>
      </w:r>
      <w:r w:rsidR="0037398A">
        <w:rPr>
          <w:b/>
          <w:bCs/>
          <w:szCs w:val="24"/>
        </w:rPr>
        <w:t>№2</w:t>
      </w:r>
      <w:r w:rsidR="0037398A" w:rsidRPr="0037398A">
        <w:rPr>
          <w:b/>
          <w:bCs/>
          <w:szCs w:val="24"/>
        </w:rPr>
        <w:t>)</w:t>
      </w:r>
      <w:r w:rsidR="008062AF" w:rsidRPr="0037398A">
        <w:rPr>
          <w:b/>
          <w:bCs/>
          <w:szCs w:val="24"/>
        </w:rPr>
        <w:t>:</w:t>
      </w:r>
    </w:p>
    <w:p w:rsidR="001A214F" w:rsidRPr="00074F83" w:rsidRDefault="00CF60C1" w:rsidP="001A214F">
      <w:pPr>
        <w:pStyle w:val="10"/>
        <w:rPr>
          <w:szCs w:val="24"/>
        </w:rPr>
      </w:pPr>
      <w:r>
        <w:rPr>
          <w:szCs w:val="24"/>
        </w:rPr>
        <w:t>5</w:t>
      </w:r>
      <w:r w:rsidR="001A214F" w:rsidRPr="00074F83">
        <w:rPr>
          <w:szCs w:val="24"/>
        </w:rPr>
        <w:t>.1. Облік споживання теплової енергії</w:t>
      </w:r>
      <w:r>
        <w:rPr>
          <w:szCs w:val="24"/>
        </w:rPr>
        <w:t xml:space="preserve"> </w:t>
      </w:r>
      <w:r w:rsidR="0037398A">
        <w:rPr>
          <w:szCs w:val="24"/>
        </w:rPr>
        <w:t>а</w:t>
      </w:r>
      <w:r>
        <w:rPr>
          <w:szCs w:val="24"/>
        </w:rPr>
        <w:t>бо</w:t>
      </w:r>
      <w:r w:rsidR="0037398A">
        <w:rPr>
          <w:szCs w:val="24"/>
        </w:rPr>
        <w:t xml:space="preserve"> гарячої води </w:t>
      </w:r>
      <w:r w:rsidR="001A214F" w:rsidRPr="00074F83">
        <w:rPr>
          <w:szCs w:val="24"/>
        </w:rPr>
        <w:t>проводиться приладним способом.</w:t>
      </w:r>
      <w:r w:rsidR="0086608C">
        <w:rPr>
          <w:szCs w:val="24"/>
        </w:rPr>
        <w:t xml:space="preserve"> </w:t>
      </w:r>
      <w:r w:rsidR="0086608C" w:rsidRPr="00321EFD">
        <w:rPr>
          <w:rFonts w:eastAsia="Calibri"/>
          <w:szCs w:val="24"/>
          <w:lang w:eastAsia="uk-UA"/>
        </w:rPr>
        <w:t>Зняття показань приладів обліку проводиться щомісяця.</w:t>
      </w:r>
    </w:p>
    <w:p w:rsidR="001A214F" w:rsidRPr="00074F83" w:rsidRDefault="00CF60C1" w:rsidP="001A214F">
      <w:pPr>
        <w:pStyle w:val="10"/>
        <w:tabs>
          <w:tab w:val="left" w:pos="360"/>
        </w:tabs>
        <w:rPr>
          <w:szCs w:val="24"/>
        </w:rPr>
      </w:pPr>
      <w:r>
        <w:rPr>
          <w:szCs w:val="24"/>
        </w:rPr>
        <w:t>5</w:t>
      </w:r>
      <w:r w:rsidR="001A214F" w:rsidRPr="00074F83">
        <w:rPr>
          <w:szCs w:val="24"/>
        </w:rPr>
        <w:t xml:space="preserve">.2. Проектування та встановлення приладів обліку теплової енергії </w:t>
      </w:r>
      <w:r w:rsidR="0037398A">
        <w:rPr>
          <w:szCs w:val="24"/>
        </w:rPr>
        <w:t>а</w:t>
      </w:r>
      <w:r>
        <w:rPr>
          <w:szCs w:val="24"/>
        </w:rPr>
        <w:t>бо</w:t>
      </w:r>
      <w:r w:rsidR="0037398A">
        <w:rPr>
          <w:szCs w:val="24"/>
        </w:rPr>
        <w:t xml:space="preserve"> гарячої води </w:t>
      </w:r>
      <w:r w:rsidR="001A214F" w:rsidRPr="00074F83">
        <w:rPr>
          <w:szCs w:val="24"/>
        </w:rPr>
        <w:t xml:space="preserve">виконується організаціями, які мають відповідні ліцензії. Встановлення приладів обліку виконується згідно з узгодженим </w:t>
      </w:r>
      <w:r w:rsidR="0037398A">
        <w:rPr>
          <w:szCs w:val="24"/>
        </w:rPr>
        <w:t>тепло</w:t>
      </w:r>
      <w:r w:rsidR="001A214F" w:rsidRPr="00074F83">
        <w:rPr>
          <w:szCs w:val="24"/>
        </w:rPr>
        <w:t xml:space="preserve">постачальною організацією проектом на межі балансової належності тепломереж </w:t>
      </w:r>
      <w:r w:rsidR="00D56329">
        <w:rPr>
          <w:szCs w:val="24"/>
        </w:rPr>
        <w:t>Учасника</w:t>
      </w:r>
      <w:r w:rsidR="001A214F" w:rsidRPr="00074F83">
        <w:rPr>
          <w:szCs w:val="24"/>
        </w:rPr>
        <w:t xml:space="preserve"> та Замовника. У разі встановлення приладів обліку теплової енергії не на межі балансової </w:t>
      </w:r>
      <w:r w:rsidR="001A214F" w:rsidRPr="00074F83">
        <w:rPr>
          <w:szCs w:val="24"/>
        </w:rPr>
        <w:lastRenderedPageBreak/>
        <w:t xml:space="preserve">належності </w:t>
      </w:r>
      <w:r w:rsidR="0037398A">
        <w:rPr>
          <w:szCs w:val="24"/>
        </w:rPr>
        <w:t>(</w:t>
      </w:r>
      <w:r w:rsidR="001A214F" w:rsidRPr="00074F83">
        <w:rPr>
          <w:szCs w:val="24"/>
        </w:rPr>
        <w:t>до обсягів теплової енергії</w:t>
      </w:r>
      <w:r w:rsidR="0037398A">
        <w:rPr>
          <w:szCs w:val="24"/>
        </w:rPr>
        <w:t xml:space="preserve"> та мереж гарячого водопостачання)</w:t>
      </w:r>
      <w:r w:rsidR="001A214F" w:rsidRPr="00074F83">
        <w:rPr>
          <w:szCs w:val="24"/>
        </w:rPr>
        <w:t>, визначеної за фактичними показниками  приладів обліку, додаються втрати на дільницях тепломережі, що перебувають на балансі Замовника, від межі балансової належності до місця встановлення приладів обліку.</w:t>
      </w:r>
    </w:p>
    <w:p w:rsidR="001A214F" w:rsidRPr="00074F83" w:rsidRDefault="00CF60C1" w:rsidP="001A21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214F" w:rsidRPr="00074F83">
        <w:rPr>
          <w:sz w:val="24"/>
          <w:szCs w:val="24"/>
        </w:rPr>
        <w:t xml:space="preserve">.3. Замовник, що має прилади обліку, щомісячно подає </w:t>
      </w:r>
      <w:r w:rsidR="00D56329">
        <w:rPr>
          <w:sz w:val="24"/>
          <w:szCs w:val="24"/>
        </w:rPr>
        <w:t>Учаснику</w:t>
      </w:r>
      <w:r w:rsidR="001A214F" w:rsidRPr="00074F83">
        <w:rPr>
          <w:sz w:val="24"/>
          <w:szCs w:val="24"/>
        </w:rPr>
        <w:t xml:space="preserve"> звіт про фактичне споживання теплової енергії</w:t>
      </w:r>
      <w:r>
        <w:rPr>
          <w:sz w:val="24"/>
          <w:szCs w:val="24"/>
        </w:rPr>
        <w:t xml:space="preserve"> або гарячу воду</w:t>
      </w:r>
      <w:r w:rsidR="001A214F" w:rsidRPr="00074F83">
        <w:rPr>
          <w:sz w:val="24"/>
          <w:szCs w:val="24"/>
        </w:rPr>
        <w:t xml:space="preserve">, в терміни, передбачені в </w:t>
      </w:r>
      <w:r w:rsidR="00DB7703">
        <w:rPr>
          <w:sz w:val="24"/>
          <w:szCs w:val="24"/>
        </w:rPr>
        <w:t>Договорі.</w:t>
      </w:r>
    </w:p>
    <w:p w:rsidR="001A214F" w:rsidRPr="00074F83" w:rsidRDefault="00CF60C1" w:rsidP="001A21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214F" w:rsidRPr="00074F83">
        <w:rPr>
          <w:sz w:val="24"/>
          <w:szCs w:val="24"/>
        </w:rPr>
        <w:t>.4. Межа балансової та експлуатаційної відповідальності Сторін вказана в Договор</w:t>
      </w:r>
      <w:r w:rsidR="00DB7703">
        <w:rPr>
          <w:sz w:val="24"/>
          <w:szCs w:val="24"/>
        </w:rPr>
        <w:t>і</w:t>
      </w:r>
      <w:r w:rsidR="001A214F" w:rsidRPr="00074F83">
        <w:rPr>
          <w:sz w:val="24"/>
          <w:szCs w:val="24"/>
        </w:rPr>
        <w:t xml:space="preserve"> та не може бути змінена в односторонньому порядку.</w:t>
      </w:r>
    </w:p>
    <w:p w:rsidR="001A214F" w:rsidRPr="00074F83" w:rsidRDefault="00CF60C1" w:rsidP="001A21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214F" w:rsidRPr="00074F83">
        <w:rPr>
          <w:sz w:val="24"/>
          <w:szCs w:val="24"/>
        </w:rPr>
        <w:t>.5. При відсутності приладів обліку або виході його з ладу – кількість теплової енергії</w:t>
      </w:r>
      <w:r w:rsidR="0037398A">
        <w:rPr>
          <w:sz w:val="24"/>
          <w:szCs w:val="24"/>
        </w:rPr>
        <w:t xml:space="preserve"> а</w:t>
      </w:r>
      <w:r>
        <w:rPr>
          <w:sz w:val="24"/>
          <w:szCs w:val="24"/>
        </w:rPr>
        <w:t>бо</w:t>
      </w:r>
      <w:r w:rsidR="0037398A">
        <w:rPr>
          <w:sz w:val="24"/>
          <w:szCs w:val="24"/>
        </w:rPr>
        <w:t xml:space="preserve"> гарячої води</w:t>
      </w:r>
      <w:r w:rsidR="001A214F" w:rsidRPr="00074F83">
        <w:rPr>
          <w:sz w:val="24"/>
          <w:szCs w:val="24"/>
        </w:rPr>
        <w:t xml:space="preserve">, що відпущена Замовнику, визначається </w:t>
      </w:r>
      <w:r w:rsidR="00D56329">
        <w:rPr>
          <w:sz w:val="24"/>
          <w:szCs w:val="24"/>
        </w:rPr>
        <w:t>Учасником</w:t>
      </w:r>
      <w:r w:rsidR="001A214F" w:rsidRPr="00074F83">
        <w:rPr>
          <w:sz w:val="24"/>
          <w:szCs w:val="24"/>
        </w:rPr>
        <w:t>, як виняток, розрахунковим способом.</w:t>
      </w:r>
    </w:p>
    <w:p w:rsidR="001A214F" w:rsidRDefault="00CF60C1" w:rsidP="001A21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A214F" w:rsidRPr="00074F83">
        <w:rPr>
          <w:sz w:val="24"/>
          <w:szCs w:val="24"/>
        </w:rPr>
        <w:t>.6. У разі підключення Замовника без приладів обліку теплової енергії до центрального теплового пункту (ЦТП) з приладами обліку від загального споживання теплової енергії, визначеної за приладами обліку ЦТП, віднімаються обсяги споживання теплової енергії, визначені за приладами обліку споживачів, підключених до ЦТП, а залишок обсягу спожитої теплової енергії розподіляється Замовнику – пропорційно його договірним навантаженням.</w:t>
      </w:r>
    </w:p>
    <w:p w:rsidR="008062AF" w:rsidRPr="00074F83" w:rsidRDefault="00CF60C1" w:rsidP="001A214F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62AF">
        <w:rPr>
          <w:sz w:val="24"/>
          <w:szCs w:val="24"/>
        </w:rPr>
        <w:t xml:space="preserve">.7. </w:t>
      </w:r>
      <w:r w:rsidR="008062AF" w:rsidRPr="00321EFD">
        <w:rPr>
          <w:rFonts w:eastAsia="Calibri"/>
          <w:sz w:val="24"/>
          <w:szCs w:val="24"/>
          <w:lang w:eastAsia="uk-UA"/>
        </w:rPr>
        <w:t>Учасник несе відповідальність за технічне обслуговування теплових мереж в межах приміщень адміністративної будівлі.</w:t>
      </w:r>
    </w:p>
    <w:p w:rsidR="001A214F" w:rsidRPr="00074F83" w:rsidRDefault="001A214F" w:rsidP="001A214F">
      <w:pPr>
        <w:pStyle w:val="1"/>
        <w:jc w:val="both"/>
        <w:rPr>
          <w:sz w:val="24"/>
          <w:szCs w:val="24"/>
        </w:rPr>
      </w:pPr>
    </w:p>
    <w:p w:rsidR="001A214F" w:rsidRPr="0037398A" w:rsidRDefault="00CF60C1" w:rsidP="001A214F">
      <w:pPr>
        <w:pStyle w:val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A214F" w:rsidRPr="0037398A">
        <w:rPr>
          <w:b/>
          <w:bCs/>
          <w:sz w:val="24"/>
          <w:szCs w:val="24"/>
        </w:rPr>
        <w:t xml:space="preserve">. </w:t>
      </w:r>
      <w:r w:rsidR="00D56329" w:rsidRPr="0037398A">
        <w:rPr>
          <w:b/>
          <w:bCs/>
          <w:sz w:val="24"/>
          <w:szCs w:val="24"/>
        </w:rPr>
        <w:t>Учасник</w:t>
      </w:r>
      <w:r w:rsidR="001A214F" w:rsidRPr="0037398A">
        <w:rPr>
          <w:b/>
          <w:bCs/>
          <w:sz w:val="24"/>
          <w:szCs w:val="24"/>
        </w:rPr>
        <w:t xml:space="preserve"> припиняє постачання теплової енергії </w:t>
      </w:r>
      <w:r>
        <w:rPr>
          <w:b/>
          <w:bCs/>
          <w:sz w:val="24"/>
          <w:szCs w:val="24"/>
        </w:rPr>
        <w:t xml:space="preserve">або гарячої води </w:t>
      </w:r>
      <w:r w:rsidR="001A214F" w:rsidRPr="0037398A">
        <w:rPr>
          <w:b/>
          <w:bCs/>
          <w:sz w:val="24"/>
          <w:szCs w:val="24"/>
        </w:rPr>
        <w:t>Замовнику у разі</w:t>
      </w:r>
      <w:r w:rsidR="0037398A">
        <w:rPr>
          <w:b/>
          <w:bCs/>
          <w:sz w:val="24"/>
          <w:szCs w:val="24"/>
        </w:rPr>
        <w:t xml:space="preserve"> (для лотів №1, №2)</w:t>
      </w:r>
      <w:r w:rsidR="001A214F" w:rsidRPr="0037398A">
        <w:rPr>
          <w:b/>
          <w:bCs/>
          <w:sz w:val="24"/>
          <w:szCs w:val="24"/>
        </w:rPr>
        <w:t>: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.1. Письмового звернення Замовника про припинення теплопостачання</w:t>
      </w:r>
      <w:r>
        <w:rPr>
          <w:sz w:val="24"/>
          <w:szCs w:val="24"/>
        </w:rPr>
        <w:t xml:space="preserve"> або послуги з постачання гарячої води</w:t>
      </w:r>
      <w:r w:rsidR="001A214F" w:rsidRPr="00074F83">
        <w:rPr>
          <w:sz w:val="24"/>
          <w:szCs w:val="24"/>
        </w:rPr>
        <w:t>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 xml:space="preserve">.2. Проведення </w:t>
      </w:r>
      <w:r w:rsidR="00D56329">
        <w:rPr>
          <w:sz w:val="24"/>
          <w:szCs w:val="24"/>
        </w:rPr>
        <w:t>Учасником</w:t>
      </w:r>
      <w:r w:rsidR="001A214F" w:rsidRPr="00074F83">
        <w:rPr>
          <w:sz w:val="24"/>
          <w:szCs w:val="24"/>
        </w:rPr>
        <w:t xml:space="preserve"> планових випробувань, поточних та капітальних ремонтів, профілактики та ремонту обладнання джерел тепла</w:t>
      </w:r>
      <w:r>
        <w:rPr>
          <w:sz w:val="24"/>
          <w:szCs w:val="24"/>
        </w:rPr>
        <w:t xml:space="preserve"> або гарячого водопостачання </w:t>
      </w:r>
      <w:r w:rsidR="001A214F" w:rsidRPr="00074F83">
        <w:rPr>
          <w:sz w:val="24"/>
          <w:szCs w:val="24"/>
        </w:rPr>
        <w:t>в м</w:t>
      </w:r>
      <w:proofErr w:type="spellStart"/>
      <w:r w:rsidR="001A214F" w:rsidRPr="00074F83">
        <w:rPr>
          <w:sz w:val="24"/>
          <w:szCs w:val="24"/>
        </w:rPr>
        <w:t>іжопалювальний</w:t>
      </w:r>
      <w:proofErr w:type="spellEnd"/>
      <w:r w:rsidR="001A214F" w:rsidRPr="00074F83">
        <w:rPr>
          <w:sz w:val="24"/>
          <w:szCs w:val="24"/>
        </w:rPr>
        <w:t xml:space="preserve"> період.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.3. Відсутності оплати за спожиту теплову енергії</w:t>
      </w:r>
      <w:r>
        <w:rPr>
          <w:sz w:val="24"/>
          <w:szCs w:val="24"/>
        </w:rPr>
        <w:t xml:space="preserve"> або послуги з постачання гарячої води</w:t>
      </w:r>
      <w:r w:rsidR="001A214F" w:rsidRPr="00074F83">
        <w:rPr>
          <w:sz w:val="24"/>
          <w:szCs w:val="24"/>
        </w:rPr>
        <w:t xml:space="preserve"> у встановлені Договором терміни.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 xml:space="preserve">.4. Забруднення зворотної мережної води Споживачем та допущення її подачі в мережі </w:t>
      </w:r>
      <w:r w:rsidR="00D56329">
        <w:rPr>
          <w:sz w:val="24"/>
          <w:szCs w:val="24"/>
        </w:rPr>
        <w:t>Учасника</w:t>
      </w:r>
      <w:r w:rsidR="001A214F" w:rsidRPr="00074F83">
        <w:rPr>
          <w:sz w:val="24"/>
          <w:szCs w:val="24"/>
        </w:rPr>
        <w:t>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.5. Неготовності Замовника до опалювального сезону (відсутність акта готовності до опалювального сезону).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.6. Підключення нового споживача, якщо споживач не має резервного джерела теплопостачання на строк, визначений графіком будівельної організації, узгоджений з органами місцевої влади.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.7. Підключення Замовником теплоспоживального обладнання, експлуатація якого була заборонена.</w:t>
      </w:r>
    </w:p>
    <w:p w:rsidR="001A214F" w:rsidRPr="00074F83" w:rsidRDefault="00CF60C1" w:rsidP="001A214F">
      <w:pPr>
        <w:pStyle w:val="1"/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 xml:space="preserve">.8. Підключення Замовником теплового обладнання без дозволу </w:t>
      </w:r>
      <w:r w:rsidR="00D56329">
        <w:rPr>
          <w:sz w:val="24"/>
          <w:szCs w:val="24"/>
        </w:rPr>
        <w:t>Учасника</w:t>
      </w:r>
      <w:r w:rsidR="001A214F" w:rsidRPr="00074F83">
        <w:rPr>
          <w:sz w:val="24"/>
          <w:szCs w:val="24"/>
        </w:rPr>
        <w:t>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.9. Інших дій Замовника, передбачених Правилами користування тепловою енергією, які є підставою для припинення подачі теплової енергії.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 xml:space="preserve">.10. </w:t>
      </w:r>
      <w:r w:rsidR="00D56329">
        <w:rPr>
          <w:sz w:val="24"/>
          <w:szCs w:val="24"/>
        </w:rPr>
        <w:t>Учасник</w:t>
      </w:r>
      <w:r w:rsidR="001A214F" w:rsidRPr="00074F83">
        <w:rPr>
          <w:sz w:val="24"/>
          <w:szCs w:val="24"/>
        </w:rPr>
        <w:t xml:space="preserve"> письмово повідомляє Замовника про причину та дату припинення подачі теплової енергії</w:t>
      </w:r>
      <w:r>
        <w:rPr>
          <w:sz w:val="24"/>
          <w:szCs w:val="24"/>
        </w:rPr>
        <w:t xml:space="preserve"> або гарячої води</w:t>
      </w:r>
      <w:r w:rsidR="001A214F" w:rsidRPr="00074F83">
        <w:rPr>
          <w:sz w:val="24"/>
          <w:szCs w:val="24"/>
        </w:rPr>
        <w:t>.</w:t>
      </w:r>
    </w:p>
    <w:p w:rsidR="001A214F" w:rsidRPr="00074F83" w:rsidRDefault="00CF60C1" w:rsidP="001A214F">
      <w:pPr>
        <w:pStyle w:val="1"/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 xml:space="preserve">.11. Замовник при отриманні повідомлення про відключення теплової енергії зобов'язаний виконати заходи, спрямовані на запобігання травматизму, пошкодженню обладнання, спустошенню систем теплоспоживання, негативним екологічним та іншим наслідкам. </w:t>
      </w:r>
      <w:r w:rsidR="00D56329">
        <w:rPr>
          <w:sz w:val="24"/>
          <w:szCs w:val="24"/>
        </w:rPr>
        <w:t>Учасник</w:t>
      </w:r>
      <w:r w:rsidR="001A214F" w:rsidRPr="00074F83">
        <w:rPr>
          <w:sz w:val="24"/>
          <w:szCs w:val="24"/>
        </w:rPr>
        <w:t xml:space="preserve"> не несе відповідальності за можливі наслідки, пов'язані з «відключенням» Замовника</w:t>
      </w:r>
    </w:p>
    <w:p w:rsidR="001A214F" w:rsidRDefault="00CF60C1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14F" w:rsidRPr="00074F83">
        <w:rPr>
          <w:sz w:val="24"/>
          <w:szCs w:val="24"/>
        </w:rPr>
        <w:t>.12. Припинення постачання теплової енергії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або гарячої води</w:t>
      </w:r>
      <w:r w:rsidR="001A214F" w:rsidRPr="00074F83">
        <w:rPr>
          <w:sz w:val="24"/>
          <w:szCs w:val="24"/>
        </w:rPr>
        <w:t xml:space="preserve"> Замовнику виконується до моменту усунення причини, яка стала підставою для таких дій </w:t>
      </w:r>
      <w:r w:rsidR="00D56329">
        <w:rPr>
          <w:sz w:val="24"/>
          <w:szCs w:val="24"/>
        </w:rPr>
        <w:t>Учасником</w:t>
      </w:r>
      <w:r w:rsidR="001A214F" w:rsidRPr="00074F83">
        <w:rPr>
          <w:sz w:val="24"/>
          <w:szCs w:val="24"/>
        </w:rPr>
        <w:t>, та сплати витрат на підключення систем теплопостачання</w:t>
      </w:r>
      <w:r>
        <w:rPr>
          <w:sz w:val="24"/>
          <w:szCs w:val="24"/>
        </w:rPr>
        <w:t xml:space="preserve"> або гарячого водопостачання</w:t>
      </w:r>
      <w:r w:rsidR="001A214F" w:rsidRPr="00074F83">
        <w:rPr>
          <w:sz w:val="24"/>
          <w:szCs w:val="24"/>
        </w:rPr>
        <w:t xml:space="preserve">. Час відновлення теплопостачання </w:t>
      </w:r>
      <w:r>
        <w:rPr>
          <w:sz w:val="24"/>
          <w:szCs w:val="24"/>
        </w:rPr>
        <w:t xml:space="preserve">або гарячого водопостачання </w:t>
      </w:r>
      <w:r w:rsidR="001A214F" w:rsidRPr="00074F83">
        <w:rPr>
          <w:sz w:val="24"/>
          <w:szCs w:val="24"/>
        </w:rPr>
        <w:t xml:space="preserve">Замовнику визначається </w:t>
      </w:r>
      <w:r w:rsidR="00D56329">
        <w:rPr>
          <w:sz w:val="24"/>
          <w:szCs w:val="24"/>
        </w:rPr>
        <w:t>Учасником</w:t>
      </w:r>
      <w:r w:rsidR="001A214F" w:rsidRPr="00074F83">
        <w:rPr>
          <w:sz w:val="24"/>
          <w:szCs w:val="24"/>
        </w:rPr>
        <w:t>, з урахуванням пріоритетності своїх поточних робіт, але не більш п'яти днів з моменту усунення порушення.</w:t>
      </w:r>
    </w:p>
    <w:p w:rsidR="0037398A" w:rsidRDefault="0037398A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37398A" w:rsidRPr="0037398A" w:rsidRDefault="00CF60C1" w:rsidP="00641E1D">
      <w:pPr>
        <w:pStyle w:val="1"/>
        <w:tabs>
          <w:tab w:val="left" w:pos="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37398A">
        <w:rPr>
          <w:b/>
          <w:bCs/>
          <w:sz w:val="24"/>
          <w:szCs w:val="24"/>
        </w:rPr>
        <w:t xml:space="preserve">. </w:t>
      </w:r>
      <w:r w:rsidR="0037398A" w:rsidRPr="0037398A">
        <w:rPr>
          <w:b/>
          <w:bCs/>
          <w:sz w:val="24"/>
          <w:szCs w:val="24"/>
        </w:rPr>
        <w:t>Інші загальні умови (для лотів №1, №2):</w:t>
      </w:r>
    </w:p>
    <w:p w:rsidR="008062AF" w:rsidRDefault="00CF60C1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062AF">
        <w:rPr>
          <w:rFonts w:eastAsia="Calibri"/>
          <w:sz w:val="24"/>
          <w:szCs w:val="24"/>
          <w:lang w:eastAsia="en-US"/>
        </w:rPr>
        <w:t xml:space="preserve">. </w:t>
      </w:r>
      <w:r w:rsidR="0037398A">
        <w:rPr>
          <w:rFonts w:eastAsia="Calibri"/>
          <w:sz w:val="24"/>
          <w:szCs w:val="24"/>
          <w:lang w:eastAsia="en-US"/>
        </w:rPr>
        <w:t xml:space="preserve">1. </w:t>
      </w:r>
      <w:r w:rsidR="008062AF" w:rsidRPr="0040244B">
        <w:rPr>
          <w:rFonts w:eastAsia="Calibri"/>
          <w:sz w:val="24"/>
          <w:szCs w:val="24"/>
          <w:lang w:eastAsia="en-US"/>
        </w:rPr>
        <w:t xml:space="preserve">Учасник процедури розраховує свою пропозицію із врахуванням необхідної кількості </w:t>
      </w:r>
      <w:proofErr w:type="spellStart"/>
      <w:r w:rsidR="008062AF" w:rsidRPr="0040244B">
        <w:rPr>
          <w:rFonts w:eastAsia="Calibri"/>
          <w:sz w:val="24"/>
          <w:szCs w:val="24"/>
          <w:lang w:eastAsia="en-US"/>
        </w:rPr>
        <w:t>Гкал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або м</w:t>
      </w:r>
      <w:r w:rsidRPr="00CF60C1">
        <w:rPr>
          <w:rFonts w:eastAsia="Calibri"/>
          <w:sz w:val="24"/>
          <w:szCs w:val="24"/>
          <w:vertAlign w:val="superscript"/>
          <w:lang w:eastAsia="en-US"/>
        </w:rPr>
        <w:t>3</w:t>
      </w:r>
      <w:r w:rsidR="008062AF" w:rsidRPr="0040244B">
        <w:rPr>
          <w:rFonts w:eastAsia="Calibri"/>
          <w:sz w:val="24"/>
          <w:szCs w:val="24"/>
          <w:lang w:eastAsia="en-US"/>
        </w:rPr>
        <w:t>, яка встановлена Замовником у даному оголошен</w:t>
      </w:r>
      <w:r w:rsidR="008062AF">
        <w:rPr>
          <w:rFonts w:eastAsia="Calibri"/>
          <w:sz w:val="24"/>
          <w:szCs w:val="24"/>
          <w:lang w:eastAsia="en-US"/>
        </w:rPr>
        <w:t>н</w:t>
      </w:r>
      <w:r w:rsidR="008062AF" w:rsidRPr="0040244B">
        <w:rPr>
          <w:rFonts w:eastAsia="Calibri"/>
          <w:sz w:val="24"/>
          <w:szCs w:val="24"/>
          <w:lang w:eastAsia="en-US"/>
        </w:rPr>
        <w:t xml:space="preserve">і. Учаснику забороняється встановлювати будь – </w:t>
      </w:r>
      <w:r w:rsidR="003E6485">
        <w:rPr>
          <w:rFonts w:eastAsia="Calibri"/>
          <w:sz w:val="24"/>
          <w:szCs w:val="24"/>
          <w:lang w:eastAsia="en-US"/>
        </w:rPr>
        <w:t xml:space="preserve"> </w:t>
      </w:r>
      <w:r w:rsidR="008062AF" w:rsidRPr="0040244B">
        <w:rPr>
          <w:rFonts w:eastAsia="Calibri"/>
          <w:sz w:val="24"/>
          <w:szCs w:val="24"/>
          <w:lang w:eastAsia="en-US"/>
        </w:rPr>
        <w:t xml:space="preserve">які інші платежі (абонентська плата та інше), які мають бути сплачені Замовником. У разі встановлення Учасником додаткових платежів, які будуть сплачуватися Замовником, окрім </w:t>
      </w:r>
      <w:proofErr w:type="spellStart"/>
      <w:r w:rsidR="008062AF" w:rsidRPr="0040244B">
        <w:rPr>
          <w:rFonts w:eastAsia="Calibri"/>
          <w:sz w:val="24"/>
          <w:szCs w:val="24"/>
          <w:lang w:eastAsia="en-US"/>
        </w:rPr>
        <w:t>Гкал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або м</w:t>
      </w:r>
      <w:r w:rsidRPr="00CF60C1">
        <w:rPr>
          <w:rFonts w:eastAsia="Calibri"/>
          <w:sz w:val="24"/>
          <w:szCs w:val="24"/>
          <w:vertAlign w:val="superscript"/>
          <w:lang w:eastAsia="en-US"/>
        </w:rPr>
        <w:t>3</w:t>
      </w:r>
      <w:r w:rsidR="008062AF" w:rsidRPr="0040244B">
        <w:rPr>
          <w:rFonts w:eastAsia="Calibri"/>
          <w:sz w:val="24"/>
          <w:szCs w:val="24"/>
          <w:lang w:eastAsia="en-US"/>
        </w:rPr>
        <w:t>, то така пропозиція буде відхилена, як така що не відповідає технічним, якісним та кількісним характеристикам предмета закупівлі</w:t>
      </w:r>
      <w:r w:rsidR="008062AF">
        <w:rPr>
          <w:rFonts w:eastAsia="Calibri"/>
          <w:sz w:val="24"/>
          <w:szCs w:val="24"/>
          <w:lang w:eastAsia="en-US"/>
        </w:rPr>
        <w:t>.</w:t>
      </w:r>
    </w:p>
    <w:p w:rsidR="008062AF" w:rsidRDefault="008062AF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D56329" w:rsidRDefault="00CF60C1" w:rsidP="00D56329">
      <w:pPr>
        <w:pStyle w:val="10"/>
        <w:tabs>
          <w:tab w:val="left" w:pos="3261"/>
        </w:tabs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37398A">
        <w:rPr>
          <w:rFonts w:eastAsia="Calibri"/>
          <w:szCs w:val="24"/>
        </w:rPr>
        <w:t xml:space="preserve">.2. </w:t>
      </w:r>
      <w:r w:rsidR="00D56329">
        <w:rPr>
          <w:rFonts w:eastAsia="Calibri"/>
          <w:szCs w:val="24"/>
        </w:rPr>
        <w:t>Дотримання інших вимог діючого законодавства:</w:t>
      </w:r>
    </w:p>
    <w:p w:rsidR="00D56329" w:rsidRDefault="00CF60C1" w:rsidP="00D56329">
      <w:pPr>
        <w:pStyle w:val="10"/>
        <w:tabs>
          <w:tab w:val="left" w:pos="3261"/>
        </w:tabs>
        <w:rPr>
          <w:rFonts w:eastAsia="Calibri"/>
          <w:szCs w:val="24"/>
        </w:rPr>
      </w:pPr>
      <w:r>
        <w:rPr>
          <w:rFonts w:eastAsia="Calibri"/>
          <w:szCs w:val="24"/>
        </w:rPr>
        <w:t>7</w:t>
      </w:r>
      <w:r w:rsidR="00D56329">
        <w:rPr>
          <w:rFonts w:eastAsia="Calibri"/>
          <w:szCs w:val="24"/>
        </w:rPr>
        <w:t>.</w:t>
      </w:r>
      <w:r w:rsidR="0037398A">
        <w:rPr>
          <w:rFonts w:eastAsia="Calibri"/>
          <w:szCs w:val="24"/>
        </w:rPr>
        <w:t>2</w:t>
      </w:r>
      <w:r w:rsidR="00D56329">
        <w:rPr>
          <w:rFonts w:eastAsia="Calibri"/>
          <w:szCs w:val="24"/>
        </w:rPr>
        <w:t>.</w:t>
      </w:r>
      <w:r w:rsidR="0037398A">
        <w:rPr>
          <w:rFonts w:eastAsia="Calibri"/>
          <w:szCs w:val="24"/>
        </w:rPr>
        <w:t>1.</w:t>
      </w:r>
      <w:r w:rsidR="00D56329">
        <w:rPr>
          <w:rFonts w:eastAsia="Calibri"/>
          <w:szCs w:val="24"/>
        </w:rPr>
        <w:t xml:space="preserve"> </w:t>
      </w:r>
      <w:r w:rsidR="00D56329" w:rsidRPr="00EF68F7">
        <w:rPr>
          <w:rFonts w:eastAsia="Calibri"/>
          <w:szCs w:val="24"/>
        </w:rPr>
        <w:t>Учасник забезпечує дотримання вимог безпеки праці, пожежної безпеки, санітарних норм та правил внутрішнього порядку перебування на території чи об’єкті своїх робітників. Учасник несе відповідальність за технічне обслуговування теплових мереж</w:t>
      </w:r>
      <w:r>
        <w:rPr>
          <w:rFonts w:eastAsia="Calibri"/>
          <w:szCs w:val="24"/>
        </w:rPr>
        <w:t xml:space="preserve"> ба мереж гарячого водопостачання </w:t>
      </w:r>
      <w:r w:rsidR="00D56329" w:rsidRPr="00EF68F7">
        <w:rPr>
          <w:rFonts w:eastAsia="Calibri"/>
          <w:szCs w:val="24"/>
        </w:rPr>
        <w:t xml:space="preserve"> в межах своєї балансової відповідальності (до вводу в будівлі замовника).</w:t>
      </w:r>
    </w:p>
    <w:p w:rsidR="00D56329" w:rsidRDefault="00CF60C1" w:rsidP="00D56329">
      <w:pPr>
        <w:pStyle w:val="10"/>
        <w:tabs>
          <w:tab w:val="left" w:pos="3261"/>
        </w:tabs>
        <w:rPr>
          <w:szCs w:val="24"/>
        </w:rPr>
      </w:pPr>
      <w:r>
        <w:rPr>
          <w:rFonts w:eastAsia="Calibri"/>
          <w:szCs w:val="24"/>
        </w:rPr>
        <w:t>7</w:t>
      </w:r>
      <w:r w:rsidR="00D56329">
        <w:rPr>
          <w:rFonts w:eastAsia="Calibri"/>
          <w:szCs w:val="24"/>
        </w:rPr>
        <w:t>.2.</w:t>
      </w:r>
      <w:r w:rsidR="0037398A">
        <w:rPr>
          <w:rFonts w:eastAsia="Calibri"/>
          <w:szCs w:val="24"/>
        </w:rPr>
        <w:t>2.</w:t>
      </w:r>
      <w:r w:rsidR="00D56329">
        <w:rPr>
          <w:rFonts w:eastAsia="Calibri"/>
          <w:szCs w:val="24"/>
        </w:rPr>
        <w:t xml:space="preserve"> </w:t>
      </w:r>
      <w:r w:rsidR="00D56329" w:rsidRPr="00EF68F7">
        <w:rPr>
          <w:rFonts w:eastAsia="Calibri"/>
          <w:szCs w:val="24"/>
        </w:rPr>
        <w:t>Учасник гарантує дотримання вимог законодавства про охорону навколишнього природного середовища, несе відповідальність за його порушення і повинен здійснювати технічні та організаційні заходи, спрямовані на зменшення шкідливого впливу об'єктів у сфері виробництва теплової енергії</w:t>
      </w:r>
      <w:r>
        <w:rPr>
          <w:rFonts w:eastAsia="Calibri"/>
          <w:szCs w:val="24"/>
        </w:rPr>
        <w:t xml:space="preserve"> та гарячого водопостачання</w:t>
      </w:r>
      <w:r w:rsidR="00D56329" w:rsidRPr="00EF68F7">
        <w:rPr>
          <w:rFonts w:eastAsia="Calibri"/>
          <w:szCs w:val="24"/>
        </w:rPr>
        <w:t>, транспортування теплової енергії магістральними і місцевими (розподільчими) тепловими мережами та постачання теплової енергії на навколишнє природне середовище, повинен здійснювати діяльність з додержанням вимог екологічної безпеки, правил, нормативів, стандартів що регулюють діяльність учасника в сфері охорони довкілля від забруднення та інших шкідливих впливів; використовувати сертифіковані матеріали; дотримується правил та умов використання, застосування, зберігання, виробництва, транспортування, і таке інше</w:t>
      </w:r>
      <w:r w:rsidR="00D56329">
        <w:rPr>
          <w:rFonts w:eastAsia="Calibri"/>
          <w:snapToGrid w:val="0"/>
          <w:szCs w:val="24"/>
        </w:rPr>
        <w:t>.</w:t>
      </w:r>
    </w:p>
    <w:p w:rsidR="008062AF" w:rsidRDefault="008062AF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</w:p>
    <w:p w:rsidR="00D56329" w:rsidRPr="00AE27CC" w:rsidRDefault="00D56329" w:rsidP="00D56329">
      <w:pPr>
        <w:suppressAutoHyphens/>
        <w:spacing w:after="0" w:line="240" w:lineRule="auto"/>
        <w:ind w:right="85" w:firstLine="567"/>
        <w:jc w:val="both"/>
        <w:rPr>
          <w:rFonts w:ascii="Times New Roman" w:eastAsia="Calibri" w:hAnsi="Times New Roman"/>
          <w:snapToGrid w:val="0"/>
          <w:sz w:val="24"/>
          <w:szCs w:val="24"/>
        </w:rPr>
      </w:pPr>
      <w:r w:rsidRPr="00AE27CC">
        <w:rPr>
          <w:rFonts w:ascii="Times New Roman" w:hAnsi="Times New Roman"/>
          <w:b/>
          <w:sz w:val="24"/>
          <w:szCs w:val="24"/>
          <w:u w:val="single"/>
        </w:rPr>
        <w:t>У складі тендерної пропозиції учасник повинен надати</w:t>
      </w:r>
      <w:r w:rsidR="0037398A">
        <w:rPr>
          <w:rFonts w:ascii="Times New Roman" w:hAnsi="Times New Roman"/>
          <w:b/>
          <w:sz w:val="24"/>
          <w:szCs w:val="24"/>
          <w:u w:val="single"/>
        </w:rPr>
        <w:t xml:space="preserve"> (для лотів №1, №2)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56329" w:rsidRDefault="00D56329" w:rsidP="00D56329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</w:rPr>
      </w:pPr>
      <w:r w:rsidRPr="00AE27CC">
        <w:rPr>
          <w:rFonts w:ascii="Times New Roman" w:hAnsi="Times New Roman"/>
          <w:sz w:val="24"/>
          <w:szCs w:val="24"/>
        </w:rPr>
        <w:t>Інформацію про необхідні технічні, якісні та кількісні характеристи</w:t>
      </w:r>
      <w:r>
        <w:rPr>
          <w:rFonts w:ascii="Times New Roman" w:hAnsi="Times New Roman"/>
          <w:sz w:val="24"/>
          <w:szCs w:val="24"/>
        </w:rPr>
        <w:t xml:space="preserve">ки предмета закупівлі, а саме: </w:t>
      </w:r>
      <w:r w:rsidRPr="00AE27CC">
        <w:rPr>
          <w:rFonts w:ascii="Times New Roman" w:hAnsi="Times New Roman"/>
          <w:sz w:val="24"/>
          <w:szCs w:val="24"/>
        </w:rPr>
        <w:t xml:space="preserve">згода з умовами та вимогами, які визначені у </w:t>
      </w:r>
      <w:r w:rsidR="00DB7703">
        <w:rPr>
          <w:rFonts w:ascii="Times New Roman" w:hAnsi="Times New Roman"/>
          <w:sz w:val="24"/>
          <w:szCs w:val="24"/>
        </w:rPr>
        <w:t>Д</w:t>
      </w:r>
      <w:r w:rsidRPr="00AE27CC">
        <w:rPr>
          <w:rFonts w:ascii="Times New Roman" w:hAnsi="Times New Roman"/>
          <w:sz w:val="24"/>
          <w:szCs w:val="24"/>
        </w:rPr>
        <w:t xml:space="preserve">одатку </w:t>
      </w:r>
      <w:r w:rsidR="00DB7703">
        <w:rPr>
          <w:rFonts w:ascii="Times New Roman" w:hAnsi="Times New Roman"/>
          <w:sz w:val="24"/>
          <w:szCs w:val="24"/>
        </w:rPr>
        <w:t>2</w:t>
      </w:r>
      <w:r w:rsidRPr="00AE27CC">
        <w:rPr>
          <w:rFonts w:ascii="Times New Roman" w:hAnsi="Times New Roman"/>
          <w:sz w:val="24"/>
          <w:szCs w:val="24"/>
        </w:rPr>
        <w:t xml:space="preserve"> до тендерної документації та гарантування їх виконання;</w:t>
      </w:r>
    </w:p>
    <w:p w:rsidR="00D56329" w:rsidRDefault="00D56329" w:rsidP="00D56329">
      <w:pPr>
        <w:pStyle w:val="a3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0" w:right="85" w:firstLine="567"/>
        <w:jc w:val="both"/>
        <w:rPr>
          <w:rFonts w:ascii="Times New Roman" w:hAnsi="Times New Roman"/>
          <w:sz w:val="24"/>
          <w:szCs w:val="24"/>
        </w:rPr>
      </w:pPr>
      <w:r w:rsidRPr="00AE27CC">
        <w:rPr>
          <w:rFonts w:ascii="Times New Roman" w:hAnsi="Times New Roman"/>
          <w:sz w:val="24"/>
          <w:szCs w:val="24"/>
        </w:rPr>
        <w:t>Документ, що посвідчує видання ліцензії з виробництва, постачання, транспортування теплової енергії споживачу (зокрема постанова або наказ про її видання), або надання відповідної інформації з посиланням на сайт органу ліцензування;</w:t>
      </w:r>
    </w:p>
    <w:p w:rsidR="008062AF" w:rsidRPr="003E6485" w:rsidRDefault="00D56329" w:rsidP="00D56329">
      <w:pPr>
        <w:pStyle w:val="a3"/>
        <w:numPr>
          <w:ilvl w:val="0"/>
          <w:numId w:val="5"/>
        </w:numPr>
        <w:tabs>
          <w:tab w:val="left" w:pos="0"/>
          <w:tab w:val="left" w:pos="993"/>
        </w:tabs>
        <w:suppressAutoHyphens/>
        <w:spacing w:after="0" w:line="240" w:lineRule="auto"/>
        <w:ind w:left="0" w:right="85" w:firstLine="567"/>
        <w:jc w:val="both"/>
        <w:rPr>
          <w:sz w:val="24"/>
          <w:szCs w:val="24"/>
        </w:rPr>
      </w:pPr>
      <w:r w:rsidRPr="003E6485">
        <w:rPr>
          <w:rFonts w:ascii="Times New Roman" w:hAnsi="Times New Roman"/>
          <w:sz w:val="24"/>
          <w:szCs w:val="24"/>
        </w:rPr>
        <w:t>Довідку в довільній формі про те, що технічні, якісні характеристики предмета закупівлі передбачають застосування заходів із захисту довкілля</w:t>
      </w:r>
      <w:r w:rsidR="00DB7703">
        <w:rPr>
          <w:rFonts w:ascii="Times New Roman" w:hAnsi="Times New Roman"/>
          <w:sz w:val="24"/>
          <w:szCs w:val="24"/>
        </w:rPr>
        <w:t>.</w:t>
      </w:r>
    </w:p>
    <w:p w:rsidR="008062AF" w:rsidRPr="00641E1D" w:rsidRDefault="008062AF" w:rsidP="00641E1D">
      <w:pPr>
        <w:pStyle w:val="1"/>
        <w:tabs>
          <w:tab w:val="left" w:pos="0"/>
        </w:tabs>
        <w:jc w:val="both"/>
        <w:rPr>
          <w:sz w:val="24"/>
          <w:szCs w:val="24"/>
        </w:rPr>
      </w:pPr>
    </w:p>
    <w:sectPr w:rsidR="008062AF" w:rsidRPr="00641E1D" w:rsidSect="00BC1F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E4C2B"/>
    <w:multiLevelType w:val="hybridMultilevel"/>
    <w:tmpl w:val="CB8A28E6"/>
    <w:lvl w:ilvl="0" w:tplc="042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14597"/>
    <w:multiLevelType w:val="hybridMultilevel"/>
    <w:tmpl w:val="54F6D03A"/>
    <w:lvl w:ilvl="0" w:tplc="EE54A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0302"/>
    <w:multiLevelType w:val="hybridMultilevel"/>
    <w:tmpl w:val="DE82BACC"/>
    <w:lvl w:ilvl="0" w:tplc="25AC9C0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8DC"/>
    <w:multiLevelType w:val="hybridMultilevel"/>
    <w:tmpl w:val="A350C6A2"/>
    <w:lvl w:ilvl="0" w:tplc="5240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1A1E"/>
    <w:multiLevelType w:val="hybridMultilevel"/>
    <w:tmpl w:val="25B4D7D6"/>
    <w:lvl w:ilvl="0" w:tplc="077C5E5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69AB"/>
    <w:multiLevelType w:val="hybridMultilevel"/>
    <w:tmpl w:val="2A98814A"/>
    <w:lvl w:ilvl="0" w:tplc="786EB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A5512"/>
    <w:multiLevelType w:val="hybridMultilevel"/>
    <w:tmpl w:val="995A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397D"/>
    <w:multiLevelType w:val="multilevel"/>
    <w:tmpl w:val="73AAE0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num w:numId="1" w16cid:durableId="739719043">
    <w:abstractNumId w:val="5"/>
  </w:num>
  <w:num w:numId="2" w16cid:durableId="2131393138">
    <w:abstractNumId w:val="3"/>
  </w:num>
  <w:num w:numId="3" w16cid:durableId="1043410940">
    <w:abstractNumId w:val="1"/>
  </w:num>
  <w:num w:numId="4" w16cid:durableId="983462499">
    <w:abstractNumId w:val="6"/>
  </w:num>
  <w:num w:numId="5" w16cid:durableId="1441417439">
    <w:abstractNumId w:val="4"/>
  </w:num>
  <w:num w:numId="6" w16cid:durableId="1883712264">
    <w:abstractNumId w:val="2"/>
  </w:num>
  <w:num w:numId="7" w16cid:durableId="933905081">
    <w:abstractNumId w:val="7"/>
  </w:num>
  <w:num w:numId="8" w16cid:durableId="119904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4F"/>
    <w:rsid w:val="000C0E78"/>
    <w:rsid w:val="000E34BD"/>
    <w:rsid w:val="000E374C"/>
    <w:rsid w:val="00131C50"/>
    <w:rsid w:val="001A214F"/>
    <w:rsid w:val="001B399D"/>
    <w:rsid w:val="002130A8"/>
    <w:rsid w:val="002A64B6"/>
    <w:rsid w:val="002F0061"/>
    <w:rsid w:val="0037398A"/>
    <w:rsid w:val="003E6485"/>
    <w:rsid w:val="004E2961"/>
    <w:rsid w:val="00525A47"/>
    <w:rsid w:val="00597FBA"/>
    <w:rsid w:val="00600D9C"/>
    <w:rsid w:val="00641E1D"/>
    <w:rsid w:val="006B1319"/>
    <w:rsid w:val="007236D7"/>
    <w:rsid w:val="008062AF"/>
    <w:rsid w:val="00830B2F"/>
    <w:rsid w:val="0086608C"/>
    <w:rsid w:val="008818CD"/>
    <w:rsid w:val="008D2663"/>
    <w:rsid w:val="0092434D"/>
    <w:rsid w:val="009E3C64"/>
    <w:rsid w:val="00A4537D"/>
    <w:rsid w:val="00AD49B9"/>
    <w:rsid w:val="00BC1F9A"/>
    <w:rsid w:val="00C4609B"/>
    <w:rsid w:val="00CA547E"/>
    <w:rsid w:val="00CC11D8"/>
    <w:rsid w:val="00CF409F"/>
    <w:rsid w:val="00CF59F4"/>
    <w:rsid w:val="00CF60C1"/>
    <w:rsid w:val="00D56329"/>
    <w:rsid w:val="00DB7703"/>
    <w:rsid w:val="00DF21DD"/>
    <w:rsid w:val="00E41A2A"/>
    <w:rsid w:val="00E828E9"/>
    <w:rsid w:val="00EF616A"/>
    <w:rsid w:val="00F50702"/>
    <w:rsid w:val="00F56DCF"/>
    <w:rsid w:val="00FA765B"/>
    <w:rsid w:val="00FD36E2"/>
    <w:rsid w:val="00FE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A43"/>
  <w15:docId w15:val="{50409A4A-BB58-4E1A-A36A-44D3600D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1A214F"/>
    <w:pPr>
      <w:jc w:val="both"/>
    </w:pPr>
    <w:rPr>
      <w:sz w:val="24"/>
    </w:rPr>
  </w:style>
  <w:style w:type="paragraph" w:styleId="a3">
    <w:name w:val="List Paragraph"/>
    <w:basedOn w:val="a"/>
    <w:uiPriority w:val="99"/>
    <w:qFormat/>
    <w:rsid w:val="001A214F"/>
    <w:pPr>
      <w:ind w:left="720"/>
      <w:contextualSpacing/>
    </w:pPr>
  </w:style>
  <w:style w:type="table" w:styleId="a4">
    <w:name w:val="Table Grid"/>
    <w:basedOn w:val="a1"/>
    <w:uiPriority w:val="39"/>
    <w:rsid w:val="0080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qFormat/>
    <w:rsid w:val="00D56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rsid w:val="00EF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smyslina.ok@gmail.com</dc:creator>
  <cp:keywords/>
  <dc:description/>
  <cp:lastModifiedBy>smyslina.ok@gmail.com</cp:lastModifiedBy>
  <cp:revision>4</cp:revision>
  <dcterms:created xsi:type="dcterms:W3CDTF">2022-12-15T10:30:00Z</dcterms:created>
  <dcterms:modified xsi:type="dcterms:W3CDTF">2022-12-15T22:29:00Z</dcterms:modified>
</cp:coreProperties>
</file>