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spacing w:lineRule="auto" w:line="240" w:before="0" w:after="0"/>
        <w:ind w:hanging="0" w:start="30" w:end="0"/>
        <w:jc w:val="end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Додаток № 1</w:t>
      </w:r>
    </w:p>
    <w:p>
      <w:pPr>
        <w:pStyle w:val="Normal"/>
        <w:shd w:fill="FFFFFF" w:val="clear"/>
        <w:spacing w:lineRule="auto" w:line="240" w:before="0" w:after="0"/>
        <w:ind w:firstLine="450" w:start="5400" w:end="0"/>
        <w:jc w:val="end"/>
        <w:textAlignment w:val="baseline"/>
        <w:rPr/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  <w:b/>
          <w:bCs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bCs/>
          <w:sz w:val="16"/>
          <w:szCs w:val="16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 w:eastAsia="ar-SA"/>
        </w:rPr>
        <w:tab/>
        <w:t>Інформація про необхідні технічні, якісні та кількісні характеристики предмета закупівлі, у тому числі відповідна технічна специфікація:</w:t>
      </w:r>
      <w:r>
        <w:rPr>
          <w:rFonts w:ascii="Times New Roman" w:hAnsi="Times New Roman"/>
          <w:b w:val="false"/>
          <w:bCs w:val="false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“Бронежилети та шоломи (код ДК 021:2015 – 35810000-5 - Індивідуальне обмундирування)”: Лот №1 – Бронежилети (код ДК 021:2015 – 35815100-1 - Бронежилети)”; Лот №2 – Шоломи (код ДК 021:2015 –  35813000-6 - Військові шоломи)”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 w:eastAsia="ar-SA"/>
        </w:rPr>
        <w:t>: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ar-S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ar-SA"/>
        </w:rPr>
        <w:t xml:space="preserve"> Технічні, якісні та кількісні характеристики, запропонованого учасниками процедури закупівлі товару, повинні відповідати або бути еквівалентними чи бути кращими за нижченаведені показники:</w:t>
      </w:r>
    </w:p>
    <w:tbl>
      <w:tblPr>
        <w:tblStyle w:val="TableNormal"/>
        <w:tblW w:w="10350" w:type="dxa"/>
        <w:jc w:val="start"/>
        <w:tblInd w:w="-38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1" w:noVBand="0" w:lastRow="1" w:firstColumn="1" w:lastColumn="1" w:noHBand="0" w:val="01e0"/>
      </w:tblPr>
      <w:tblGrid>
        <w:gridCol w:w="3536"/>
        <w:gridCol w:w="6814"/>
      </w:tblGrid>
      <w:tr>
        <w:trPr>
          <w:trHeight w:val="407" w:hRule="atLeast"/>
        </w:trPr>
        <w:tc>
          <w:tcPr>
            <w:tcW w:w="1035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ЛОТ №1 – БРОНЕЖИЛЕТИ (КОД ДК 021:2015 – 35815100-1 - БРОНЕЖИЛЕТИ)</w:t>
            </w:r>
          </w:p>
        </w:tc>
      </w:tr>
      <w:tr>
        <w:trPr>
          <w:trHeight w:val="407" w:hRule="atLeast"/>
        </w:trPr>
        <w:tc>
          <w:tcPr>
            <w:tcW w:w="353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b/>
                <w:kern w:val="0"/>
                <w:sz w:val="22"/>
                <w:szCs w:val="22"/>
                <w:lang w:val="uk-UA" w:eastAsia="en-US" w:bidi="ar-SA"/>
              </w:rPr>
              <w:t>зва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товару</w:t>
            </w:r>
          </w:p>
        </w:tc>
        <w:tc>
          <w:tcPr>
            <w:tcW w:w="6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Бронежилет</w:t>
            </w:r>
          </w:p>
        </w:tc>
      </w:tr>
      <w:tr>
        <w:trPr>
          <w:trHeight w:val="505" w:hRule="atLeast"/>
        </w:trPr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start="107" w:end="460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Код номенклатурної позиції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предмета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закупівлі</w:t>
            </w:r>
          </w:p>
        </w:tc>
        <w:tc>
          <w:tcPr>
            <w:tcW w:w="6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35815100-1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Бронежилети</w:t>
            </w:r>
          </w:p>
        </w:tc>
      </w:tr>
      <w:tr>
        <w:trPr>
          <w:trHeight w:val="408" w:hRule="atLeast"/>
        </w:trPr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Кількість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(шт.)</w:t>
            </w:r>
          </w:p>
        </w:tc>
        <w:tc>
          <w:tcPr>
            <w:tcW w:w="6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Відповідність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ДСТУ</w:t>
            </w:r>
          </w:p>
        </w:tc>
        <w:tc>
          <w:tcPr>
            <w:tcW w:w="6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start="105" w:end="47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ДСТУ 8782:2018 Засоби індивідуального захисту. Бронежилети.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Класифікація.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Загальні технічні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умови</w:t>
            </w:r>
          </w:p>
        </w:tc>
      </w:tr>
      <w:tr>
        <w:trPr>
          <w:trHeight w:val="7589" w:hRule="atLeast"/>
        </w:trPr>
        <w:tc>
          <w:tcPr>
            <w:tcW w:w="3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start="107" w:end="16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Опис товару та вимоги до його</w:t>
            </w:r>
            <w:r>
              <w:rPr>
                <w:b/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технічних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та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якісних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</w:t>
            </w:r>
          </w:p>
        </w:tc>
        <w:tc>
          <w:tcPr>
            <w:tcW w:w="6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Загальні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характеристики: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Комплектація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бронежилета: плитоноска,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бронеплити (2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шт.)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Характеристики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плитоноски: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start="105" w:end="2038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Матеріал: Cordura із щільністю не менше 1000d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Колір: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олива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Розмір: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універсальний М-ХХ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L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start="105" w:end="1065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Вага: 6,2 кг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Система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кріплення: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база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модульної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системи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(MOLLE)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start="105" w:end="11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Система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швидкого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скидання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бронежилета: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швидке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бокове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верхнє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скидання за допомогою оригінальної фурнітури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start="105" w:end="11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Амортизація та вентиляція: обидві панелі оснащені демпферними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подушками, тактичною 3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сіткою по всій внутрішній поверхні, що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надає амортизацію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забезпечує вентиляцію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5" w:end="1184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Боковий захист: кишені на липучці у бічних панелях для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додаткових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бронеплит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150х200 мм.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5" w:end="11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Додатково: широкі та м’які зйомні підплічники.</w: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ind w:start="0"/>
              <w:jc w:val="start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Характеристики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бронеплит: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start="105" w:end="2136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Кількість плит до кожного бронежилету: 2 шт.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Матеріал: кераміка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start="105" w:end="539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Клас захисту: не нижче 6 класу захисту згідно ДСТУП або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NIJ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IV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 по світовій класифікації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start="105" w:end="539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Типи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плит: алюмінію оксид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Al</w:t>
            </w:r>
            <w:r>
              <w:rPr>
                <w:kern w:val="0"/>
                <w:sz w:val="22"/>
                <w:szCs w:val="22"/>
                <w:lang w:eastAsia="en-US" w:bidi="ar-SA"/>
              </w:rPr>
              <w:t>203 та НВМПЕ (надвисокомолекулярний поліетилен, для зменшення заперешкодного травмування)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3" w:before="1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Вага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однієї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плити: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більше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2,8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+/-0,1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кг.</w:t>
            </w:r>
          </w:p>
        </w:tc>
      </w:tr>
      <w:tr>
        <w:trPr>
          <w:trHeight w:val="3520" w:hRule="atLeast"/>
        </w:trPr>
        <w:tc>
          <w:tcPr>
            <w:tcW w:w="353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Орієнтовний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вигляд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товару</w:t>
            </w:r>
          </w:p>
        </w:tc>
        <w:tc>
          <w:tcPr>
            <w:tcW w:w="6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start="0"/>
              <w:jc w:val="start"/>
              <w:rPr>
                <w:i/>
                <w:i/>
                <w:sz w:val="9"/>
              </w:rPr>
            </w:pPr>
            <w:r>
              <w:rPr>
                <w:i/>
                <w:sz w:val="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240"/>
              <w:jc w:val="start"/>
              <w:rPr>
                <w:sz w:val="20"/>
              </w:rPr>
            </w:pPr>
            <w:r>
              <w:rPr/>
              <w:drawing>
                <wp:inline distT="0" distB="0" distL="0" distR="0">
                  <wp:extent cx="2383790" cy="1876425"/>
                  <wp:effectExtent l="0" t="0" r="0" b="0"/>
                  <wp:docPr id="1" name="Рисунок 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uk-UA" w:eastAsia="ar-SA"/>
        </w:rPr>
      </w:pPr>
      <w:r>
        <w:rPr/>
      </w:r>
    </w:p>
    <w:tbl>
      <w:tblPr>
        <w:tblStyle w:val="TableNormal"/>
        <w:tblW w:w="10225" w:type="dxa"/>
        <w:jc w:val="start"/>
        <w:tblInd w:w="-57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1" w:noVBand="0" w:lastRow="1" w:firstColumn="1" w:lastColumn="1" w:noHBand="0" w:val="01e0"/>
      </w:tblPr>
      <w:tblGrid>
        <w:gridCol w:w="3552"/>
        <w:gridCol w:w="6673"/>
      </w:tblGrid>
      <w:tr>
        <w:trPr>
          <w:trHeight w:val="408" w:hRule="atLeast"/>
        </w:trPr>
        <w:tc>
          <w:tcPr>
            <w:tcW w:w="1022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center"/>
              <w:rPr>
                <w:b/>
              </w:rPr>
            </w:pPr>
            <w:r>
              <w:rPr>
                <w:b/>
              </w:rPr>
              <w:t>ЛОТ №2 – ШОЛОМИ (КОД ДК 021:2015 –  35813000-6 - ВІЙСЬКОВІ ШОЛОМИ)</w:t>
            </w:r>
          </w:p>
        </w:tc>
      </w:tr>
      <w:tr>
        <w:trPr>
          <w:trHeight w:val="408" w:hRule="atLeast"/>
        </w:trPr>
        <w:tc>
          <w:tcPr>
            <w:tcW w:w="35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Назва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товару</w:t>
            </w:r>
          </w:p>
        </w:tc>
        <w:tc>
          <w:tcPr>
            <w:tcW w:w="667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Шолом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uk-UA" w:eastAsia="en-US" w:bidi="ar-SA"/>
              </w:rPr>
              <w:t>(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TOR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або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еквівалент)</w:t>
            </w:r>
          </w:p>
        </w:tc>
      </w:tr>
      <w:tr>
        <w:trPr>
          <w:trHeight w:val="505" w:hRule="atLeast"/>
        </w:trPr>
        <w:tc>
          <w:tcPr>
            <w:tcW w:w="3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start="107" w:end="460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Код номенклатурної позиції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предмета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закупівлі</w:t>
            </w:r>
          </w:p>
        </w:tc>
        <w:tc>
          <w:tcPr>
            <w:tcW w:w="6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35813000-6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Військові шоломи</w:t>
            </w:r>
          </w:p>
        </w:tc>
      </w:tr>
      <w:tr>
        <w:trPr>
          <w:trHeight w:val="408" w:hRule="atLeast"/>
        </w:trPr>
        <w:tc>
          <w:tcPr>
            <w:tcW w:w="3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Кількість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(шт.)</w:t>
            </w:r>
          </w:p>
        </w:tc>
        <w:tc>
          <w:tcPr>
            <w:tcW w:w="6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3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Відповідність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ДСТУ</w:t>
            </w:r>
          </w:p>
        </w:tc>
        <w:tc>
          <w:tcPr>
            <w:tcW w:w="6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start="105" w:end="969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ДСТУ 8835:2019 Засоби індивідуального захисту. Шоломи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кулезахисні.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Класифікація.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Загальні технічні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умови</w:t>
            </w:r>
          </w:p>
        </w:tc>
      </w:tr>
      <w:tr>
        <w:trPr>
          <w:trHeight w:val="3542" w:hRule="atLeast"/>
        </w:trPr>
        <w:tc>
          <w:tcPr>
            <w:tcW w:w="3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start="107" w:end="16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Опис товару та вимоги до його</w:t>
            </w:r>
            <w:r>
              <w:rPr>
                <w:b/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технічних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та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якісних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</w:t>
            </w:r>
          </w:p>
        </w:tc>
        <w:tc>
          <w:tcPr>
            <w:tcW w:w="6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Матеріал: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Арамідна тканина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(Кевлар)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5" w:end="827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Клас захисту: не нижче NIJ III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(1 клас захисту згідно ДСТУ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8835:2019) з відповідним стандартом протиуламкового захисту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STANAG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2920 на півні &gt;670 м/с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Колір: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олива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start="105" w:end="31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Підвісна система: підвісна система Team Wendy Cam Fit Retention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System/BOA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регулюється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і надійно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фіксує шолом 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голові.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5" w:end="226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Внутрішня структура: модульна панель пам'яті, 4 точки кріплення,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пряжка,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що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швидко знімається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105" w:end="221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Додатково: лобове кріплення для приладів нічного бачення, бічні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рейки для кріплення ліхтарів, камер та інших аксесуарів, наявність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велкропанелей,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розміщених на площі шолома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star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Вага: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більше 1,5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кг.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+/-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0,1 кг.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5" w:before="0" w:after="0"/>
              <w:jc w:val="star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Розмір: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XL</w:t>
            </w:r>
          </w:p>
        </w:tc>
      </w:tr>
      <w:tr>
        <w:trPr>
          <w:trHeight w:val="2460" w:hRule="atLeast"/>
        </w:trPr>
        <w:tc>
          <w:tcPr>
            <w:tcW w:w="35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start="107"/>
              <w:jc w:val="star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Орієнтовний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вигляд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товару</w:t>
            </w:r>
          </w:p>
        </w:tc>
        <w:tc>
          <w:tcPr>
            <w:tcW w:w="6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start="0"/>
              <w:jc w:val="start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start="262"/>
              <w:jc w:val="start"/>
              <w:rPr>
                <w:sz w:val="20"/>
              </w:rPr>
            </w:pPr>
            <w:r>
              <w:rPr/>
              <w:drawing>
                <wp:inline distT="0" distB="0" distL="0" distR="0">
                  <wp:extent cx="2143125" cy="2143125"/>
                  <wp:effectExtent l="0" t="0" r="0" b="0"/>
                  <wp:docPr id="2" name="Рисунок 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ru-RU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lang w:val="uk-UA" w:eastAsia="ru-RU"/>
        </w:rPr>
        <w:t xml:space="preserve"> Усі посилання у цьому Додатку 1 до тендерної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"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ru-RU"/>
        </w:rPr>
        <w:t>або  еквівалент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lang w:val="uk-UA" w:eastAsia="ru-RU"/>
        </w:rPr>
        <w:t>".</w:t>
      </w:r>
    </w:p>
    <w:p>
      <w:pPr>
        <w:pStyle w:val="Normal"/>
        <w:spacing w:lineRule="auto" w:line="360" w:before="57" w:after="57"/>
        <w:rPr/>
      </w:pPr>
      <w:r>
        <w:rPr>
          <w:rFonts w:eastAsia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ar-SA" w:bidi="ar-SA"/>
        </w:rPr>
        <w:t>3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uk-UA"/>
        </w:rPr>
        <w:t xml:space="preserve">. </w:t>
      </w:r>
      <w:r>
        <w:rPr>
          <w:rFonts w:eastAsia="Times New Roman" w:ascii="Times New Roman" w:hAnsi="Times New Roman"/>
          <w:b/>
          <w:color w:val="auto"/>
          <w:sz w:val="24"/>
          <w:szCs w:val="24"/>
          <w:lang w:val="uk-UA" w:eastAsia="uk-UA"/>
        </w:rPr>
        <w:t xml:space="preserve">Місце поставки товару: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Україна, Житомирська область, м. Житомир (згідно заявки Замовника)</w:t>
      </w:r>
    </w:p>
    <w:p>
      <w:pPr>
        <w:pStyle w:val="Normal"/>
        <w:spacing w:lineRule="auto" w:line="360" w:before="0" w:after="0"/>
        <w:ind w:hanging="0" w:start="0" w:end="397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4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. Строк поставки товару: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 xml:space="preserve">  до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uk-UA" w:bidi="ar-SA"/>
        </w:rPr>
        <w:t>.2023 р.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5</w:t>
      </w:r>
      <w:r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>. Послуги, які обов’язково надає учасник та включає в ціну товару: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Проведення навантажувально-розвантажувальних робіт, поставка (транспортування) товару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ru-RU"/>
        </w:rPr>
        <w:t xml:space="preserve"> до Замовника,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здійснюється силами та за рахунок Продавця -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uk-U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ar-SA"/>
        </w:rPr>
        <w:t>переможця процедури закупівлі та ціна пропозиції учасника процедури закупівлі має включати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>6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. </w:t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val="uk-UA" w:eastAsia="ar-SA"/>
        </w:rPr>
        <w:t xml:space="preserve">Приймання товару: </w:t>
      </w:r>
      <w:r>
        <w:rPr>
          <w:rFonts w:eastAsia="Times New Roman" w:ascii="Times New Roman" w:hAnsi="Times New Roman"/>
          <w:b w:val="false"/>
          <w:bCs w:val="false"/>
          <w:color w:val="auto"/>
          <w:sz w:val="24"/>
          <w:szCs w:val="24"/>
          <w:lang w:val="uk-UA" w:eastAsia="ar-SA"/>
        </w:rPr>
        <w:t>здійснюватиметься Покупцем (замовником) по кількості та якості в момент одержання його від Продавця (переможця процедури закупівлі). Якість товару, що постачається повинна відповідати державним нормам та стандартам, що діють в Україні на момент постачання такого. Продавець повинен одночасно з товаром передати Замовникові (Покупцеві) його приналежності та відповідні товаросупроводжувані документи.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  <w:lang w:val="uk-UA" w:eastAsia="ar-SA"/>
        </w:rPr>
        <w:t>7</w:t>
      </w:r>
      <w:r>
        <w:rPr>
          <w:rFonts w:eastAsia="Times New Roman" w:ascii="Times New Roman" w:hAnsi="Times New Roman"/>
          <w:b/>
          <w:sz w:val="24"/>
          <w:szCs w:val="24"/>
          <w:lang w:val="uk-UA" w:eastAsia="ar-SA"/>
        </w:rPr>
        <w:t>.</w:t>
      </w:r>
      <w:r>
        <w:rPr>
          <w:rFonts w:eastAsia="Times New Roman"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Перелік документів, які обов’язково повинен подати учасник процедури закупівлі,</w:t>
      </w:r>
      <w:r>
        <w:rPr>
          <w:rFonts w:ascii="Times New Roman" w:hAnsi="Times New Roman"/>
          <w:lang w:val="uk-U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як частину своєї тендерної пропозиції</w:t>
      </w:r>
      <w:r>
        <w:rPr>
          <w:rFonts w:eastAsia="Times New Roman"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uk-UA" w:eastAsia="uk-UA"/>
        </w:rPr>
        <w:t>для підтвердження прийнятності та відповідності запропонованого товару</w:t>
      </w:r>
      <w:r>
        <w:rPr>
          <w:rFonts w:eastAsia="Times New Roman" w:ascii="Times New Roman" w:hAnsi="Times New Roman"/>
          <w:b/>
          <w:bCs/>
          <w:sz w:val="24"/>
          <w:szCs w:val="24"/>
          <w:lang w:val="uk-UA" w:eastAsia="uk-UA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 w:eastAsia="uk-UA"/>
        </w:rPr>
        <w:t>7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 w:eastAsia="uk-UA"/>
        </w:rPr>
        <w:t>.1. І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 w:eastAsia="ru-RU"/>
        </w:rPr>
        <w:t>нформаційну довідку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uk-UA"/>
        </w:rPr>
        <w:t>(в довільній формі) від учасника процедури закупівлі,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 w:eastAsia="ru-RU"/>
        </w:rPr>
        <w:t xml:space="preserve"> яка містить інформацію, що підтверджує відповідність його тендерної пропозиції технічним, якісним, кількісним та іншим характеристикам до предмету закупівлі, встановленим цим Додатком.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  <w:lang w:val="uk-UA" w:eastAsia="ru-RU"/>
        </w:rPr>
        <w:t xml:space="preserve">Окрім цього, 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  <w:lang w:val="uk-UA" w:eastAsia="ru-RU"/>
        </w:rPr>
        <w:t xml:space="preserve">цій же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  <w:lang w:val="uk-UA" w:eastAsia="ru-RU"/>
        </w:rPr>
        <w:t>даній довідці, також потрібно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singl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  <w:lang w:val="uk-UA" w:eastAsia="ru-RU"/>
        </w:rPr>
        <w:t xml:space="preserve">обов'язково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single"/>
          <w:lang w:val="uk-UA" w:eastAsia="ru-RU"/>
        </w:rPr>
        <w:t>зазначити повне найменування запропонованого товару, а також країну виробництва товару та найменування його виробника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/>
        </w:rPr>
        <w:t>.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lang w:val="uk-UA" w:eastAsia="uk-UA" w:bidi="ar-SA"/>
        </w:rPr>
        <w:t xml:space="preserve">.2.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Гарантійний лист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(в довільній формі) від учасника процедури закупівлі, у якому має бути зазначено, що товар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 w:bidi="ar-SA"/>
        </w:rPr>
        <w:t xml:space="preserve">який запропоновано до поставки буде новим, без механічних пошкоджень, таким, що не був у використанні, буде поставлений у встановлені тендерною документацією строки, та на товар буде надано офіційну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гарантію від виробника, строк якої складатиме не менш</w:t>
      </w:r>
      <w:r>
        <w:rPr>
          <w:rFonts w:eastAsia="Times New Roman" w:cs="Mangal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uk-UA" w:eastAsia="uk-UA" w:bidi="hi-IN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 ніж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п'ять років</w:t>
      </w:r>
      <w:r>
        <w:rPr>
          <w:rFonts w:eastAsia="Times New Roman" w:cs="Mangal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uk-UA" w:eastAsia="uk-UA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з дня передачі товару (з дня підписання акту прийому-передачі, видаткової накладної); товар матиме гарантійні талони, заповнені належним чином продавцем / постачальником.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.3.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Якщо запропонований учасником процедури закупівлі товар є аналогічним за параметрами (технічними, якісними, кількісні та іншими характеристиками предмета закупівлі) та / або відрізняється від тих, що вимагаються замовником у цьому додатку до тендерної документації, то в такому разі учасник у складі його тендерної пропозиції повинен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обов’язково надати порівняльну таблицю цих параметрів з відомостями щодо їх відповідності (або не відповідності) необхідним технічним, якісним та кількісним характеристикам предмета закупівлі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, у тому числі відповідній технічній специфікації Додатку №1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до тендерної документації. У наданій таблиці, учасник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процедури закупівлі, обов'язково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зазначає  повне найменування запропонованого товару (марку, модель,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версі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ю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і т.п.), що має містити характеристики, які відповідають вимогам зазначеним 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>технічній специфікації Додатку №1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ru-RU" w:bidi="ar-SA"/>
        </w:rPr>
        <w:t xml:space="preserve"> до тендерної документації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Примітки: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у разі відсутності у наданій учасником процедури закупівлі порівняльній таблиці усієї необхідної вищезазначеної інформації, що вимагається, то даний документ може бути розцінено, як такий, що не відповідає умовам тендерної документації та у такому разі тендерна пропозиція учасника процедури закупівлі буде відхилена.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.4.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(в довільній формі) від учасника процедури закупівлі, про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uk-UA" w:bidi="ar-SA"/>
        </w:rPr>
        <w:t>, що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риймання товару здійснюватиметься Замовником по кількості та якості в момент одержання його від Продавця (переможця процедури закупівлі). Якість товару, що постачається буде відповідати державним нормам та стандартам, що діють в Україні на момент постачання такого. Товар, що поставляється учасником, матиме на момент поставки відповідні товаросупроваджуючі документи, що передбачені законодавством для даного виду товару (протоколи випробування, сертифікат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якості, сертифікат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 відповідності, гарантійн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 талон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, технічн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 паспорт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, або інші передбачені документи, тощо).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(в довільній формі) від учасника процедури закупівлі, у якому має бути зазначено, що проведення навантажувально-розвантажувальних робіт, поставка (транспортування) товару до Замовника, здійснюється силами та за рахунок Продав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u w:val="none"/>
          <w:lang w:val="uk-UA" w:eastAsia="uk-UA" w:bidi="ar-SA"/>
        </w:rPr>
        <w:t>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>(перемож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uk-UA" w:eastAsia="ar-SA" w:bidi="ar-SA"/>
        </w:rPr>
        <w:t>ця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uk-UA" w:eastAsia="ar-SA" w:bidi="ar-SA"/>
        </w:rPr>
        <w:t xml:space="preserve"> процедури закупівлі)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та ціна пропозиції учасника процедури закупівлі включає вартість товару та вартість всіх необхідних супровідних послуг чи робіт, у т. ч. всі податки, збори і обов'язкові платежі.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ротокол випробування шолома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(не раніше 2022 року) на визначення тривкості до пробою кулями вогнепальної зброї за вимогами  ДСТУ 8835:2019;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8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ротокол випробування всіх наявних елементів бронезахисту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, а саме: згідно ДСТУ 8782:2018 на підтвердження вимог замовника;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9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ертифікат відповідності на бронежилет,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за результатами випробування зразків в акредитованій лабораторії, згідно ДСТУ 8782:2018, не раніше 2022 року, що підтверджує технічні, якісні та кількісні характеристики згідно чинного законодавства;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ехнічні умови на бронежилет та шолом;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11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Інформацію з описом, технічними характеристиками, інструкцією до використання та фото запропонованих бронежилетів та шоломів (у вигляді довідки або презентації).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12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ідтвердження про видачу/наявність ліцензії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*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, виданої МВС на провадження діяльності з виробництва спеціальних засобів індивідуального захисту.</w:t>
      </w:r>
    </w:p>
    <w:p>
      <w:pPr>
        <w:pStyle w:val="Normal"/>
        <w:shd w:val="clear" w:color="auto" w:fill="FFFFFF"/>
        <w:spacing w:lineRule="auto" w:line="360"/>
        <w:jc w:val="both"/>
        <w:rPr>
          <w:b w:val="false"/>
          <w:bCs w:val="false"/>
        </w:rPr>
      </w:pPr>
      <w:r>
        <w:rPr>
          <w:rFonts w:eastAsia="Arial" w:ascii="Times New Roman" w:hAnsi="Times New Roman"/>
          <w:b w:val="false"/>
          <w:bCs w:val="false"/>
          <w:sz w:val="24"/>
          <w:szCs w:val="24"/>
          <w:lang w:val="uk-UA" w:eastAsia="ru-RU"/>
        </w:rPr>
        <w:t>*</w:t>
      </w:r>
      <w:r>
        <w:rPr>
          <w:rFonts w:eastAsia="Arial" w:ascii="Times New Roman" w:hAnsi="Times New Roman"/>
          <w:b w:val="false"/>
          <w:bCs w:val="false"/>
          <w:sz w:val="24"/>
          <w:szCs w:val="24"/>
          <w:lang w:val="uk-UA" w:eastAsia="ru-RU"/>
        </w:rPr>
        <w:t xml:space="preserve">Якщо учасник не є виробником запропонованого товару, то ним додатково </w:t>
      </w:r>
      <w:r>
        <w:rPr>
          <w:rFonts w:eastAsia="Arial" w:ascii="Times New Roman" w:hAnsi="Times New Roman"/>
          <w:b w:val="false"/>
          <w:bCs w:val="false"/>
          <w:sz w:val="24"/>
          <w:szCs w:val="24"/>
          <w:lang w:val="uk-UA" w:eastAsia="ru-RU"/>
        </w:rPr>
        <w:t>на</w:t>
      </w:r>
      <w:r>
        <w:rPr>
          <w:rFonts w:eastAsia="Arial" w:ascii="Times New Roman" w:hAnsi="Times New Roman"/>
          <w:b w:val="false"/>
          <w:bCs w:val="false"/>
          <w:sz w:val="24"/>
          <w:szCs w:val="24"/>
          <w:lang w:val="uk-UA" w:eastAsia="ru-RU"/>
        </w:rPr>
        <w:t>дається: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b w:val="false"/>
          <w:bCs w:val="false"/>
        </w:rPr>
      </w:pPr>
      <w:r>
        <w:rPr>
          <w:rFonts w:eastAsia="Arial" w:ascii="Times New Roman" w:hAnsi="Times New Roman"/>
          <w:b w:val="false"/>
          <w:bCs w:val="false"/>
          <w:sz w:val="24"/>
          <w:szCs w:val="24"/>
          <w:lang w:val="uk-UA" w:eastAsia="ru-RU"/>
        </w:rPr>
        <w:t>оригінал або копія договору(-ів) укладеного(-их) з виробником спеціальних засобів індивідуального захисту, що має ліцензію на провадження такої діяльності;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оригінал або копія ліцензії, виданої МВС на провадження діяльності з продажу спеціальних засобів індивідуального захисту (ліцензія видана учаснику).</w:t>
      </w:r>
    </w:p>
    <w:p>
      <w:pPr>
        <w:pStyle w:val="Normal"/>
        <w:widowControl w:val="false"/>
        <w:shd w:fill="FFFFFF" w:val="clear"/>
        <w:tabs>
          <w:tab w:val="clear" w:pos="709"/>
          <w:tab w:val="left" w:pos="444" w:leader="none"/>
        </w:tabs>
        <w:suppressAutoHyphens w:val="true"/>
        <w:spacing w:lineRule="auto" w:line="360" w:before="0" w:after="0"/>
        <w:ind w:hanging="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13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Гарантійний лист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(в довільній формі) від учасника процедури закупівлі, у якому має бути зазначено, що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учасник процедури закупівлі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не 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не є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громадянин Російської Федерації/Республіки Білорусь (крім того, що проживає на території України на законних підставах),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не є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не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>
          <w:rFonts w:eastAsia="Times New Roman" w:cs="Times New Roman CYR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7.</w:t>
      </w:r>
      <w:r>
        <w:rPr>
          <w:rFonts w:eastAsia="Times New Roman" w:cs="Times New Roman CYR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14</w:t>
      </w:r>
      <w:r>
        <w:rPr>
          <w:rFonts w:eastAsia="Times New Roman" w:cs="Times New Roman CYR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.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Гарантійний лист від учасника процедури закупівлі, у якому має бути зазначено,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ascii="Times New Roman" w:hAnsi="Times New Roman" w:eastAsia="Times New Roman" w:cs="Times New Roman CYR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</w:pPr>
      <w:r>
        <w:rPr/>
      </w:r>
    </w:p>
    <w:sectPr>
      <w:footerReference w:type="default" r:id="rId4"/>
      <w:type w:val="nextPage"/>
      <w:pgSz w:w="11906" w:h="16838"/>
      <w:pgMar w:left="993" w:right="567" w:gutter="0" w:header="0" w:top="851" w:footer="1134" w:bottom="1693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FreeSet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%2​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​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​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​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​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​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​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​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/>
    </w:rPr>
  </w:style>
  <w:style w:type="paragraph" w:styleId="Heading2">
    <w:name w:val="Heading 2"/>
    <w:basedOn w:val="Normal"/>
    <w:qFormat/>
    <w:pPr>
      <w:numPr>
        <w:ilvl w:val="0"/>
        <w:numId w:val="0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Style14"/>
    <w:qFormat/>
    <w:pPr/>
    <w:rPr/>
  </w:style>
  <w:style w:type="character" w:styleId="Style11">
    <w:name w:val="Маркери"/>
    <w:qFormat/>
    <w:rPr>
      <w:rFonts w:ascii="OpenSymbol" w:hAnsi="OpenSymbol" w:eastAsia="OpenSymbol" w:cs="OpenSymbol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2350">
    <w:name w:val="2350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Символ нумерації"/>
    <w:qFormat/>
    <w:rPr/>
  </w:style>
  <w:style w:type="character" w:styleId="Hps">
    <w:name w:val="hps"/>
    <w:qFormat/>
    <w:rPr/>
  </w:style>
  <w:style w:type="character" w:styleId="Style13">
    <w:name w:val="Основной шрифт абзаца"/>
    <w:qFormat/>
    <w:rPr/>
  </w:style>
  <w:style w:type="character" w:styleId="D-none">
    <w:name w:val="d-none"/>
    <w:basedOn w:val="Style13"/>
    <w:qFormat/>
    <w:rPr/>
  </w:style>
  <w:style w:type="character" w:styleId="Rvts0">
    <w:name w:val="rvts0"/>
    <w:qFormat/>
    <w:rPr>
      <w:rFonts w:cs="Times New Roman"/>
    </w:rPr>
  </w:style>
  <w:style w:type="character" w:styleId="Liki-item-option-title">
    <w:name w:val="liki-item-option-title"/>
    <w:basedOn w:val="DefaultParagraphFont"/>
    <w:qFormat/>
    <w:rPr/>
  </w:style>
  <w:style w:type="character" w:styleId="WW8Num3z0">
    <w:name w:val="WW8Num3z0"/>
    <w:qFormat/>
    <w:rPr/>
  </w:style>
  <w:style w:type="character" w:styleId="Shorttext">
    <w:name w:val="short_text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Mangal"/>
    </w:rPr>
  </w:style>
  <w:style w:type="paragraph" w:styleId="Style16">
    <w:name w:val="Вміст таблиці"/>
    <w:basedOn w:val="Normal"/>
    <w:qFormat/>
    <w:pPr>
      <w:suppressLineNumbers/>
    </w:pPr>
    <w:rPr/>
  </w:style>
  <w:style w:type="paragraph" w:styleId="Style1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2"/>
      <w:sz w:val="22"/>
      <w:szCs w:val="22"/>
      <w:lang w:val="uk-UA" w:eastAsia="en-US" w:bidi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76" w:before="100" w:after="100"/>
      <w:jc w:val="start"/>
      <w:textAlignment w:val="auto"/>
    </w:pPr>
    <w:rPr>
      <w:rFonts w:ascii="Calibri" w:hAnsi="Calibri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spacing w:before="0" w:after="200"/>
      <w:ind w:hanging="0" w:start="720" w:end="0"/>
      <w:contextualSpacing/>
    </w:pPr>
    <w:rPr/>
  </w:style>
  <w:style w:type="paragraph" w:styleId="1">
    <w:name w:val="Îáû÷íûé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  <w:textAlignment w:val="auto"/>
    </w:pPr>
    <w:rPr>
      <w:rFonts w:ascii="FreeSet" w:hAnsi="FreeSet" w:eastAsia="Times New Roman" w:cs="Liberation Serif"/>
      <w:color w:val="000000"/>
      <w:kern w:val="2"/>
      <w:sz w:val="24"/>
      <w:szCs w:val="24"/>
      <w:lang w:val="en-US" w:eastAsia="ar-SA" w:bidi="ar-SA"/>
    </w:rPr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Times New Roman" w:hAnsi="Times New Roman" w:eastAsia="Times New Roman" w:cs="Times New Roman"/>
      <w:lang w:val="en-US" w:eastAsia="zh-CN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uk-UA"/>
    </w:rPr>
  </w:style>
  <w:style w:type="paragraph" w:styleId="11">
    <w:name w:val="Обычный1"/>
    <w:qFormat/>
    <w:pPr>
      <w:widowControl/>
      <w:suppressAutoHyphens w:val="true"/>
      <w:kinsoku w:val="true"/>
      <w:overflowPunct w:val="false"/>
      <w:autoSpaceDE w:val="true"/>
      <w:bidi w:val="0"/>
      <w:spacing w:before="100" w:after="100"/>
      <w:jc w:val="star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18">
    <w:name w:val="Заголовок таблиці"/>
    <w:basedOn w:val="Style16"/>
    <w:qFormat/>
    <w:pPr>
      <w:suppressLineNumbers/>
      <w:jc w:val="center"/>
    </w:pPr>
    <w:rPr>
      <w:b/>
      <w:bCs/>
    </w:rPr>
  </w:style>
  <w:style w:type="paragraph" w:styleId="ListParagraph11">
    <w:name w:val="List Paragraph11"/>
    <w:basedOn w:val="Normal"/>
    <w:qFormat/>
    <w:pPr>
      <w:suppressAutoHyphens w:val="false"/>
      <w:spacing w:lineRule="auto" w:line="240" w:before="0" w:after="0"/>
      <w:ind w:hanging="0" w:start="720" w:end="0"/>
      <w:contextualSpacing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Style19">
    <w:name w:val="Базов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star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start"/>
    </w:pPr>
    <w:rPr>
      <w:rFonts w:ascii="Courier New" w:hAnsi="Courier New" w:cs="Courier New"/>
      <w:sz w:val="20"/>
    </w:rPr>
  </w:style>
  <w:style w:type="paragraph" w:styleId="Style20">
    <w:name w:val="Звичайни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styleId="21">
    <w:name w:val="Основной текст 21"/>
    <w:basedOn w:val="Normal"/>
    <w:qFormat/>
    <w:pPr>
      <w:suppressAutoHyphens w:val="false"/>
      <w:overflowPunct w:val="false"/>
      <w:spacing w:lineRule="auto" w:line="480" w:before="0" w:after="120"/>
    </w:pPr>
    <w:rPr>
      <w:rFonts w:ascii="Times New Roman CYR" w:hAnsi="Times New Roman CYR" w:eastAsia="Calibri" w:cs="Times New Roman"/>
      <w:kern w:val="0"/>
      <w:lang w:val="x-none" w:bidi="ar-SA"/>
    </w:rPr>
  </w:style>
  <w:style w:type="numbering" w:styleId="WW8Num3">
    <w:name w:val="WW8Num3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5</Pages>
  <Words>1436</Words>
  <Characters>9798</Characters>
  <CharactersWithSpaces>11179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2023-03-09T23:27:02Z</dcterms:created>
  <dc:creator/>
  <dc:description/>
  <dc:language>uk-UA</dc:language>
  <cp:lastModifiedBy/>
  <cp:revision>1</cp:revision>
  <dc:subject/>
  <dc:title/>
</cp:coreProperties>
</file>