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vAlign w:val="center"/>
          </w:tcPr>
          <w:p>
            <w:pPr>
              <w:pStyle w:val="10"/>
              <w:snapToGrid w:val="0"/>
              <w:ind w:right="-13"/>
              <w:jc w:val="center"/>
              <w:rPr>
                <w:sz w:val="32"/>
                <w:szCs w:val="32"/>
              </w:rPr>
            </w:pPr>
            <w:r>
              <w:rPr>
                <w:rFonts w:hint="default"/>
                <w:sz w:val="32"/>
                <w:szCs w:val="32"/>
              </w:rPr>
              <w:t>Комунальне некомерційне підприємство "Хмельницький обласний спеціалізований будинок дитини"</w:t>
            </w:r>
          </w:p>
        </w:tc>
      </w:tr>
      <w:tr>
        <w:trPr>
          <w:trHeight w:val="1976" w:hRule="atLeast"/>
        </w:trPr>
        <w:tc>
          <w:tcPr>
            <w:tcW w:w="9639" w:type="dxa"/>
            <w:shd w:val="clear" w:color="auto" w:fill="auto"/>
            <w:vAlign w:val="center"/>
          </w:tcPr>
          <w:p>
            <w:pPr>
              <w:pStyle w:val="11"/>
              <w:ind w:left="5217" w:right="-13"/>
              <w:rPr>
                <w:iCs/>
                <w:sz w:val="24"/>
                <w:szCs w:val="24"/>
              </w:rPr>
            </w:pPr>
          </w:p>
          <w:p>
            <w:pPr>
              <w:pStyle w:val="11"/>
              <w:ind w:left="5217" w:right="-13"/>
              <w:rPr>
                <w:iCs/>
                <w:sz w:val="24"/>
                <w:szCs w:val="24"/>
              </w:rPr>
            </w:pPr>
            <w:r>
              <w:rPr>
                <w:iCs/>
                <w:sz w:val="24"/>
                <w:szCs w:val="24"/>
              </w:rPr>
              <w:t>ЗАТВЕРДЖЕНО</w:t>
            </w:r>
          </w:p>
          <w:p>
            <w:pPr>
              <w:pStyle w:val="11"/>
              <w:ind w:left="5217" w:right="-13"/>
              <w:rPr>
                <w:iCs/>
                <w:sz w:val="24"/>
                <w:szCs w:val="24"/>
              </w:rPr>
            </w:pPr>
            <w:r>
              <w:rPr>
                <w:iCs/>
                <w:sz w:val="24"/>
                <w:szCs w:val="24"/>
              </w:rPr>
              <w:t xml:space="preserve"> РІШЕННЯМ УПОВНОВАЖЕНОЇ ОСОБИ</w:t>
            </w:r>
          </w:p>
          <w:p>
            <w:pPr>
              <w:pStyle w:val="11"/>
              <w:ind w:left="5217" w:right="-13"/>
              <w:rPr>
                <w:iCs/>
                <w:sz w:val="24"/>
                <w:szCs w:val="24"/>
              </w:rPr>
            </w:pPr>
          </w:p>
          <w:p>
            <w:pPr>
              <w:pStyle w:val="11"/>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r>
              <w:rPr>
                <w:iCs/>
                <w:sz w:val="24"/>
                <w:szCs w:val="24"/>
                <w:highlight w:val="none"/>
              </w:rPr>
              <w:t>№</w:t>
            </w:r>
            <w:r>
              <w:rPr>
                <w:rFonts w:hint="default"/>
                <w:iCs/>
                <w:sz w:val="24"/>
                <w:szCs w:val="24"/>
                <w:highlight w:val="none"/>
                <w:lang w:val="uk-UA"/>
              </w:rPr>
              <w:t>33</w:t>
            </w:r>
            <w:r>
              <w:rPr>
                <w:iCs/>
                <w:sz w:val="24"/>
                <w:szCs w:val="24"/>
                <w:highlight w:val="none"/>
              </w:rPr>
              <w:t xml:space="preserve"> від 0</w:t>
            </w:r>
            <w:r>
              <w:rPr>
                <w:rFonts w:hint="default"/>
                <w:iCs/>
                <w:sz w:val="24"/>
                <w:szCs w:val="24"/>
                <w:highlight w:val="none"/>
                <w:lang w:val="uk-UA"/>
              </w:rPr>
              <w:t>5</w:t>
            </w:r>
            <w:r>
              <w:rPr>
                <w:iCs/>
                <w:sz w:val="24"/>
                <w:szCs w:val="24"/>
                <w:highlight w:val="none"/>
              </w:rPr>
              <w:t>.12.2021 року</w:t>
            </w:r>
          </w:p>
          <w:p>
            <w:pPr>
              <w:pStyle w:val="12"/>
              <w:shd w:val="clear" w:color="auto" w:fill="FFFFFF"/>
              <w:spacing w:before="0" w:after="0" w:line="288" w:lineRule="auto"/>
              <w:jc w:val="both"/>
              <w:textAlignment w:val="baseline"/>
              <w:rPr>
                <w:lang w:val="uk-UA"/>
              </w:rPr>
            </w:pPr>
            <w:r>
              <w:rPr>
                <w:iCs/>
                <w:lang w:val="uk-UA"/>
              </w:rPr>
              <w:t xml:space="preserve">                                                                                                 </w:t>
            </w:r>
          </w:p>
          <w:p>
            <w:pPr>
              <w:pStyle w:val="11"/>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Електрична енергія</w:t>
      </w:r>
    </w:p>
    <w:p>
      <w:pPr>
        <w:pStyle w:val="12"/>
        <w:shd w:val="clear" w:color="auto" w:fill="FFFFFF"/>
        <w:spacing w:before="0" w:after="0"/>
        <w:jc w:val="center"/>
        <w:textAlignment w:val="baseline"/>
        <w:rPr>
          <w:b/>
          <w:lang w:val="uk-UA"/>
        </w:rPr>
      </w:pPr>
      <w:r>
        <w:rPr>
          <w:b/>
          <w:lang w:val="uk-UA" w:eastAsia="ru-RU"/>
        </w:rPr>
        <w:t>( код ДК 021:2015- 09310000-5 «Електрична енергія»</w:t>
      </w:r>
      <w:r>
        <w:rPr>
          <w:b/>
          <w:lang w:val="uk-UA"/>
        </w:rPr>
        <w:t>)</w:t>
      </w:r>
    </w:p>
    <w:p>
      <w:pPr>
        <w:pStyle w:val="12"/>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2022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8"/>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pStyle w:val="14"/>
              <w:bidi w:val="0"/>
              <w:rPr>
                <w:rFonts w:ascii="Times New Roman" w:hAnsi="Times New Roman" w:cs="Times New Roman"/>
                <w:i/>
                <w:iCs/>
                <w:szCs w:val="24"/>
                <w:lang w:val="uk-UA"/>
              </w:rPr>
            </w:pPr>
            <w:r>
              <w:rPr>
                <w:rFonts w:ascii="Times New Roman" w:hAnsi="Times New Roman" w:cs="Times New Roman"/>
                <w:b/>
                <w:bCs/>
                <w:sz w:val="24"/>
                <w:szCs w:val="24"/>
                <w:lang w:val="uk-UA"/>
              </w:rPr>
              <w:t>Комунальне некомерційне підприємство "Хмельницький обласний спеціалізований будинок дитини"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lang w:val="uk-UA"/>
              </w:rPr>
            </w:pPr>
            <w:r>
              <w:rPr>
                <w:rFonts w:hint="default" w:ascii="Times New Roman" w:hAnsi="Times New Roman"/>
                <w:bCs/>
                <w:sz w:val="24"/>
                <w:szCs w:val="24"/>
                <w:lang w:val="uk-UA"/>
              </w:rPr>
              <w:t>29016, Україна, Хмельницька обл., місто Хмельницький, вул. Пулюя,4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rPr>
            </w:pPr>
            <w:r>
              <w:rPr>
                <w:rFonts w:ascii="Times New Roman" w:hAnsi="Times New Roman" w:eastAsia="Times New Roman" w:cs="Times New Roman"/>
                <w:sz w:val="24"/>
                <w:szCs w:val="24"/>
                <w:lang w:eastAsia="ru-RU"/>
              </w:rPr>
              <w:t>Яна</w:t>
            </w:r>
            <w:r>
              <w:rPr>
                <w:rFonts w:hint="default" w:ascii="Times New Roman" w:hAnsi="Times New Roman" w:eastAsia="Times New Roman" w:cs="Times New Roman"/>
                <w:sz w:val="24"/>
                <w:szCs w:val="24"/>
                <w:lang w:eastAsia="ru-RU"/>
              </w:rPr>
              <w:t xml:space="preserve"> Довбета,</w:t>
            </w:r>
            <w:r>
              <w:rPr>
                <w:rFonts w:ascii="Times New Roman" w:hAnsi="Times New Roman" w:cs="Times New Roman"/>
                <w:b w:val="0"/>
                <w:bCs w:val="0"/>
                <w:lang w:val="uk-UA"/>
              </w:rPr>
              <w:t xml:space="preserve"> тел.(0382) 67-18-10</w:t>
            </w:r>
            <w:r>
              <w:rPr>
                <w:rFonts w:ascii="Times New Roman" w:hAnsi="Times New Roman" w:cs="Times New Roman"/>
                <w:b w:val="0"/>
                <w:bCs w:val="0"/>
                <w:lang w:val="uk-UA"/>
              </w:rPr>
              <w:br w:type="textWrapping"/>
            </w:r>
            <w:r>
              <w:rPr>
                <w:rFonts w:ascii="Times New Roman" w:hAnsi="Times New Roman" w:cs="Times New Roman"/>
                <w:b w:val="0"/>
                <w:bCs w:val="0"/>
                <w:lang w:val="uk-UA"/>
              </w:rPr>
              <w:t>knp_detdom-khm@ukr.net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pStyle w:val="12"/>
              <w:shd w:val="clear" w:color="auto" w:fill="FFFFFF"/>
              <w:spacing w:before="0"/>
              <w:textAlignment w:val="baseline"/>
              <w:rPr>
                <w:b/>
                <w:lang w:val="uk-UA" w:eastAsia="ru-RU"/>
              </w:rPr>
            </w:pPr>
            <w:r>
              <w:rPr>
                <w:b/>
                <w:lang w:val="uk-UA" w:eastAsia="ru-RU"/>
              </w:rPr>
              <w:t>Електрична енергія ( код ДК 021:2015- 09310000-5 «Електрична енергія»)</w:t>
            </w:r>
          </w:p>
          <w:p>
            <w:pPr>
              <w:jc w:val="both"/>
              <w:rPr>
                <w:rFonts w:ascii="Times New Roman" w:hAnsi="Times New Roman" w:cs="Times New Roman"/>
                <w:i/>
                <w:iCs/>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eastAsia="Times New Roman"/>
                <w:sz w:val="24"/>
                <w:szCs w:val="24"/>
                <w:lang w:val="uk-UA" w:eastAsia="ru-RU"/>
              </w:rPr>
              <w:t>Хмельницька обл., місто Хмельницький, вул. Пулюя,4</w:t>
            </w:r>
            <w:r>
              <w:rPr>
                <w:rFonts w:hint="default" w:ascii="Times New Roman" w:hAnsi="Times New Roman" w:eastAsia="Times New Roman"/>
                <w:sz w:val="24"/>
                <w:szCs w:val="24"/>
                <w:lang w:val="uk-UA" w:eastAsia="ru-RU"/>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highlight w:val="none"/>
                <w:lang w:val="uk-UA" w:eastAsia="ru-RU"/>
              </w:rPr>
              <w:t>До 31 грудня 2023 року.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 та </w:t>
            </w:r>
            <w:r>
              <w:rPr>
                <w:rFonts w:ascii="Times New Roman" w:hAnsi="Times New Roman" w:cs="Times New Roman"/>
                <w:i/>
                <w:sz w:val="24"/>
                <w:szCs w:val="24"/>
                <w:lang w:val="uk-UA"/>
              </w:rPr>
              <w:t>електронних полів тендерної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7"/>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7"/>
              <w:spacing w:before="0" w:beforeAutospacing="0" w:after="0" w:afterAutospacing="0"/>
              <w:jc w:val="both"/>
            </w:pPr>
            <w:r>
              <w:t>уживання великої літери;</w:t>
            </w:r>
          </w:p>
          <w:p>
            <w:pPr>
              <w:pStyle w:val="7"/>
              <w:spacing w:before="0" w:beforeAutospacing="0" w:after="0" w:afterAutospacing="0"/>
              <w:jc w:val="both"/>
            </w:pPr>
            <w:r>
              <w:t>уживання розділових знаків та відмінювання слів у реченні;</w:t>
            </w:r>
          </w:p>
          <w:p>
            <w:pPr>
              <w:pStyle w:val="7"/>
              <w:spacing w:before="0" w:beforeAutospacing="0" w:after="0" w:afterAutospacing="0"/>
              <w:jc w:val="both"/>
            </w:pPr>
            <w:r>
              <w:t>використання слова або мовного звороту, запозичених з іншої мови;</w:t>
            </w:r>
          </w:p>
          <w:p>
            <w:pPr>
              <w:pStyle w:val="7"/>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7"/>
              <w:spacing w:before="0" w:beforeAutospacing="0" w:after="0" w:afterAutospacing="0"/>
              <w:jc w:val="both"/>
            </w:pPr>
            <w:r>
              <w:t>застосування правил переносу частини слова з рядка в рядок;</w:t>
            </w:r>
          </w:p>
          <w:p>
            <w:pPr>
              <w:pStyle w:val="7"/>
              <w:spacing w:before="0" w:beforeAutospacing="0" w:after="0" w:afterAutospacing="0"/>
              <w:jc w:val="both"/>
            </w:pPr>
            <w:r>
              <w:t>написання слів разом та/або окремо, та/або через дефіс;</w:t>
            </w:r>
          </w:p>
          <w:p>
            <w:pPr>
              <w:pStyle w:val="7"/>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7"/>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7"/>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7"/>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7"/>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7"/>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7"/>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7"/>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7"/>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7"/>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7"/>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3"/>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6"/>
                <w:rFonts w:ascii="Times New Roman" w:hAnsi="Times New Roman" w:cs="Times New Roman"/>
                <w:sz w:val="24"/>
                <w:szCs w:val="24"/>
                <w:lang w:val="uk-UA"/>
              </w:rPr>
              <w:t>Закону України</w:t>
            </w:r>
            <w:r>
              <w:rPr>
                <w:rStyle w:val="6"/>
                <w:rFonts w:ascii="Times New Roman" w:hAnsi="Times New Roman" w:cs="Times New Roman"/>
                <w:sz w:val="24"/>
                <w:szCs w:val="24"/>
                <w:lang w:val="uk-UA"/>
              </w:rPr>
              <w:fldChar w:fldCharType="end"/>
            </w:r>
            <w:r>
              <w:rPr>
                <w:rStyle w:val="13"/>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6"/>
                <w:rFonts w:ascii="Times New Roman" w:hAnsi="Times New Roman" w:eastAsia="Times New Roman" w:cs="Times New Roman"/>
                <w:sz w:val="24"/>
                <w:szCs w:val="24"/>
                <w:lang w:val="uk-UA" w:eastAsia="ru-RU"/>
              </w:rPr>
              <w:t>https://czo.gov.ua/verify</w:t>
            </w:r>
            <w:r>
              <w:rPr>
                <w:rStyle w:val="6"/>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eastAsia="Times New Roman" w:cs="Times New Roman"/>
                <w:color w:val="000000"/>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highlight w:val="none"/>
                <w:lang w:val="uk-UA" w:eastAsia="ru-RU"/>
              </w:rPr>
              <w:t>13</w:t>
            </w:r>
            <w:r>
              <w:rPr>
                <w:rFonts w:ascii="Times New Roman" w:hAnsi="Times New Roman" w:eastAsia="Times New Roman" w:cs="Times New Roman"/>
                <w:b/>
                <w:bCs/>
                <w:color w:val="000000"/>
                <w:sz w:val="24"/>
                <w:szCs w:val="24"/>
                <w:highlight w:val="none"/>
                <w:lang w:val="uk-UA" w:eastAsia="ru-RU"/>
              </w:rPr>
              <w:t>.</w:t>
            </w:r>
            <w:r>
              <w:rPr>
                <w:rFonts w:ascii="Times New Roman" w:hAnsi="Times New Roman" w:eastAsia="Times New Roman" w:cs="Times New Roman"/>
                <w:b/>
                <w:color w:val="000000"/>
                <w:sz w:val="24"/>
                <w:szCs w:val="24"/>
                <w:highlight w:val="none"/>
                <w:lang w:val="uk-UA" w:eastAsia="ru-RU"/>
              </w:rPr>
              <w:t xml:space="preserve">12.2021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w:t>
            </w:r>
            <w:r>
              <w:rPr>
                <w:rFonts w:ascii="Times New Roman" w:hAnsi="Times New Roman" w:eastAsia="Times New Roman" w:cs="Times New Roman"/>
                <w:color w:val="000000"/>
                <w:sz w:val="24"/>
                <w:szCs w:val="24"/>
                <w:highlight w:val="none"/>
                <w:lang w:val="uk-UA" w:eastAsia="ru-RU"/>
              </w:rPr>
              <w:t xml:space="preserve">кщо учасник є платником ПДВ або </w:t>
            </w:r>
            <w:r>
              <w:rPr>
                <w:rFonts w:ascii="Times New Roman" w:hAnsi="Times New Roman" w:eastAsia="Times New Roman" w:cs="Times New Roman"/>
                <w:sz w:val="24"/>
                <w:szCs w:val="24"/>
                <w:highlight w:val="none"/>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i/>
                <w:sz w:val="24"/>
                <w:szCs w:val="24"/>
                <w:highlight w:val="none"/>
                <w:lang w:val="uk-UA" w:eastAsia="ru-RU"/>
              </w:rPr>
              <w:t>Ціною пропозиції є ціна електричної енергії, що включає  передачу та розподіл електроенергії, маржу Учасника, витрати на сплату податків.</w:t>
            </w:r>
          </w:p>
          <w:p>
            <w:pPr>
              <w:keepNext/>
              <w:keepLines/>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uk-UA" w:eastAsia="ru-RU"/>
              </w:rPr>
              <w:t>5.1.2.</w:t>
            </w:r>
            <w:r>
              <w:rPr>
                <w:rFonts w:ascii="Times New Roman" w:hAnsi="Times New Roman" w:eastAsia="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keepNext/>
              <w:keepLines/>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Електронний аукціон проводиться електронною системою закупівель відповідно до статті 30 Закону.</w:t>
            </w:r>
          </w:p>
          <w:p>
            <w:pPr>
              <w:keepNext/>
              <w:keepLines/>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 – 0,5%.</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9"/>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w:t>
            </w:r>
            <w:r>
              <w:rPr>
                <w:rFonts w:ascii="Times New Roman" w:hAnsi="Times New Roman" w:eastAsia="Times New Roman" w:cs="Times New Roman"/>
                <w:color w:val="000000"/>
                <w:sz w:val="24"/>
                <w:szCs w:val="24"/>
                <w:highlight w:val="none"/>
                <w:lang w:val="uk-UA" w:eastAsia="ru-RU"/>
              </w:rPr>
              <w:t>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5.2.3.</w:t>
            </w:r>
            <w:r>
              <w:rPr>
                <w:rFonts w:ascii="Times New Roman" w:hAnsi="Times New Roman" w:eastAsia="Times New Roman" w:cs="Times New Roman"/>
                <w:i/>
                <w:color w:val="000000"/>
                <w:sz w:val="24"/>
                <w:szCs w:val="24"/>
                <w:highlight w:val="none"/>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i/>
                <w:color w:val="000000"/>
                <w:sz w:val="24"/>
                <w:szCs w:val="24"/>
                <w:highlight w:val="none"/>
                <w:lang w:val="uk-UA" w:eastAsia="ru-RU"/>
              </w:rPr>
              <w:t>постачання та розподілу електричної енергії</w:t>
            </w:r>
            <w:r>
              <w:rPr>
                <w:rFonts w:ascii="Times New Roman" w:hAnsi="Times New Roman" w:eastAsia="Times New Roman" w:cs="Times New Roman"/>
                <w:color w:val="000000"/>
                <w:sz w:val="24"/>
                <w:szCs w:val="24"/>
                <w:highlight w:val="none"/>
                <w:lang w:val="uk-UA" w:eastAsia="ru-RU"/>
              </w:rPr>
              <w:t xml:space="preserve">. </w:t>
            </w:r>
          </w:p>
          <w:p>
            <w:pPr>
              <w:keepNext/>
              <w:keepLines/>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 xml:space="preserve"> </w:t>
            </w:r>
            <w:r>
              <w:rPr>
                <w:rFonts w:ascii="Times New Roman" w:hAnsi="Times New Roman" w:eastAsia="Times New Roman" w:cs="Times New Roman"/>
                <w:i/>
                <w:color w:val="000000"/>
                <w:sz w:val="24"/>
                <w:szCs w:val="24"/>
                <w:highlight w:val="none"/>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pPr>
              <w:keepNext/>
              <w:keepLines/>
              <w:contextualSpacing/>
              <w:jc w:val="both"/>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b/>
                <w:bCs/>
                <w:i/>
                <w:iCs/>
                <w:color w:val="000000"/>
                <w:sz w:val="24"/>
                <w:szCs w:val="24"/>
                <w:highlight w:val="none"/>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highlight w:val="none"/>
                <w:lang w:val="uk-UA" w:eastAsia="ru-RU"/>
              </w:rPr>
              <w:t>5.2.3.2.   У ра</w:t>
            </w:r>
            <w:r>
              <w:rPr>
                <w:rFonts w:ascii="Times New Roman" w:hAnsi="Times New Roman" w:eastAsia="Times New Roman" w:cs="Times New Roman"/>
                <w:color w:val="000000"/>
                <w:sz w:val="24"/>
                <w:szCs w:val="24"/>
                <w:lang w:val="uk-UA" w:eastAsia="ru-RU"/>
              </w:rPr>
              <w:t>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w:t>
            </w:r>
            <w:r>
              <w:rPr>
                <w:rFonts w:ascii="Times New Roman" w:hAnsi="Times New Roman" w:eastAsia="Times New Roman" w:cs="Times New Roman"/>
                <w:color w:val="000000"/>
                <w:sz w:val="24"/>
                <w:szCs w:val="24"/>
                <w:highlight w:val="none"/>
                <w:lang w:val="uk-UA" w:eastAsia="ru-RU"/>
              </w:rPr>
              <w:t>окументації.</w:t>
            </w:r>
          </w:p>
          <w:p>
            <w:pPr>
              <w:pStyle w:val="14"/>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4"/>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4"/>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4"/>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7"/>
              <w:spacing w:before="150" w:beforeAutospacing="0" w:after="150" w:afterAutospacing="0"/>
              <w:jc w:val="both"/>
              <w:rPr>
                <w:rFonts w:eastAsia="Times New Roman"/>
              </w:rPr>
            </w:pPr>
            <w:r>
              <w:rPr>
                <w:highlight w:val="none"/>
              </w:rPr>
              <w:t>5.2.3.11.</w:t>
            </w:r>
            <w:r>
              <w:rPr>
                <w:color w:val="000000"/>
                <w:highlight w:val="none"/>
              </w:rPr>
              <w:t xml:space="preserve"> </w:t>
            </w:r>
            <w:r>
              <w:rPr>
                <w:rFonts w:eastAsia="Times New Roman"/>
                <w:color w:val="000000"/>
                <w:highlight w:val="none"/>
              </w:rPr>
              <w:t xml:space="preserve">У складі тендерної пропозиції </w:t>
            </w:r>
            <w:r>
              <w:rPr>
                <w:rFonts w:eastAsia="Times New Roman"/>
                <w:i/>
                <w:color w:val="000000"/>
                <w:highlight w:val="none"/>
              </w:rPr>
              <w:t>учасник надає лист або довідку в довільній формі</w:t>
            </w:r>
            <w:r>
              <w:rPr>
                <w:rFonts w:eastAsia="Times New Roman"/>
                <w:color w:val="000000"/>
                <w:highlight w:val="none"/>
              </w:rPr>
              <w:t xml:space="preserve"> про те, що учасник процедури закупів</w:t>
            </w:r>
            <w:r>
              <w:rPr>
                <w:rFonts w:eastAsia="Times New Roman"/>
                <w:color w:val="000000"/>
              </w:rPr>
              <w:t>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w:t>
            </w:r>
            <w:bookmarkStart w:id="3" w:name="_GoBack"/>
            <w:bookmarkEnd w:id="3"/>
            <w:r>
              <w:rPr>
                <w:rFonts w:eastAsia="Times New Roman"/>
                <w:color w:val="000000"/>
              </w:rPr>
              <w:t xml:space="preserve">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Pr>
                <w:rFonts w:eastAsia="Times New Roman"/>
                <w:color w:val="000000"/>
              </w:rPr>
              <w:t>(стосується юридичних осіб та фізичних осіб-підприємців).</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Учасник у складі тендерної пропозиції має </w:t>
            </w:r>
            <w:r>
              <w:rPr>
                <w:rFonts w:ascii="Times New Roman" w:hAnsi="Times New Roman" w:eastAsia="Times New Roman" w:cs="Times New Roman"/>
                <w:i/>
                <w:color w:val="000000"/>
                <w:sz w:val="24"/>
                <w:szCs w:val="24"/>
                <w:lang w:val="uk-UA" w:eastAsia="uk-UA"/>
              </w:rPr>
              <w:t>надати лист або довідку в довільній формі</w:t>
            </w:r>
            <w:r>
              <w:rPr>
                <w:rFonts w:ascii="Times New Roman" w:hAnsi="Times New Roman" w:eastAsia="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rFonts w:ascii="Times New Roman" w:hAnsi="Times New Roman" w:eastAsia="Times New Roman" w:cs="Times New Roman"/>
                <w:i/>
                <w:color w:val="000000"/>
                <w:sz w:val="24"/>
                <w:szCs w:val="24"/>
                <w:lang w:val="uk-UA" w:eastAsia="uk-UA"/>
              </w:rPr>
              <w:t>тимчасово окупованій території</w:t>
            </w:r>
            <w:r>
              <w:rPr>
                <w:rFonts w:ascii="Times New Roman" w:hAnsi="Times New Roman" w:eastAsia="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-викладена іншою мовою (мовами), ніж мова (мови), що передбачена тендерною документацією;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w:t>
            </w:r>
            <w:r>
              <w:rPr>
                <w:rFonts w:ascii="Times New Roman" w:hAnsi="Times New Roman" w:eastAsia="Times New Roman" w:cs="Times New Roman"/>
                <w:color w:val="000000"/>
                <w:sz w:val="24"/>
                <w:szCs w:val="24"/>
                <w:lang w:val="uk-UA" w:eastAsia="ru-RU"/>
              </w:rPr>
              <w:tab/>
            </w: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укладання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9"/>
              <w:keepNext/>
              <w:keepLines/>
              <w:numPr>
                <w:ilvl w:val="0"/>
                <w:numId w:val="3"/>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9"/>
              <w:keepNext/>
              <w:keepLines/>
              <w:numPr>
                <w:ilvl w:val="0"/>
                <w:numId w:val="3"/>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F"/>
    <w:rsid w:val="00090DEF"/>
    <w:rsid w:val="00465C6A"/>
    <w:rsid w:val="00B25671"/>
    <w:rsid w:val="00E20155"/>
    <w:rsid w:val="BFCFE321"/>
    <w:rsid w:val="F7F73DF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9"/>
    <w:pPr>
      <w:keepNext/>
      <w:keepLines/>
      <w:spacing w:before="280" w:after="290" w:line="376" w:lineRule="auto"/>
      <w:outlineLvl w:val="3"/>
    </w:pPr>
    <w:rPr>
      <w:b/>
      <w:bCs/>
      <w:sz w:val="28"/>
      <w:szCs w:val="28"/>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000FF" w:themeColor="hyperlink"/>
      <w:u w:val="single"/>
      <w14:textFill>
        <w14:solidFill>
          <w14:schemeClr w14:val="hlink"/>
        </w14:solidFill>
      </w14:textFill>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8">
    <w:name w:val="Table Grid"/>
    <w:basedOn w:val="5"/>
    <w:qFormat/>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ind w:left="720"/>
      <w:contextualSpacing/>
    </w:pPr>
  </w:style>
  <w:style w:type="paragraph" w:customStyle="1" w:styleId="10">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11">
    <w:name w:val="ЕТС-ОТ(Ц-О)14"/>
    <w:basedOn w:val="1"/>
    <w:qFormat/>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2">
    <w:name w:val="rvps2"/>
    <w:basedOn w:val="1"/>
    <w:qFormat/>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3">
    <w:name w:val="rvts0"/>
    <w:basedOn w:val="4"/>
    <w:qFormat/>
    <w:uiPriority w:val="0"/>
  </w:style>
  <w:style w:type="paragraph" w:customStyle="1" w:styleId="14">
    <w:name w:val="Standard"/>
    <w:qFormat/>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36454</Words>
  <Characters>20780</Characters>
  <Lines>173</Lines>
  <Paragraphs>114</Paragraphs>
  <TotalTime>9</TotalTime>
  <ScaleCrop>false</ScaleCrop>
  <LinksUpToDate>false</LinksUpToDate>
  <CharactersWithSpaces>57120</CharactersWithSpaces>
  <Application>WPS Office_4.7.1.7786_F1E327BC-269C-435d-A152-05C5408002CA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2022-10-24T22:13:00Z</dcterms:created>
  <dc:creator>T440</dc:creator>
  <cp:lastModifiedBy>google1589453068</cp:lastModifiedBy>
  <dcterms:modified xsi:type="dcterms:W3CDTF">2022-12-05T19:33:27Z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