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rFonts w:ascii="Times New Roman" w:hAnsi="Times New Roman" w:eastAsia="Times New Roman" w:cs="Times New Roman"/>
          <w:b/>
          <w:b/>
          <w:i w:val="false"/>
          <w:i w:val="false"/>
          <w:iCs w:val="false"/>
          <w:color w:val="auto"/>
          <w:kern w:val="0"/>
          <w:sz w:val="24"/>
          <w:szCs w:val="24"/>
          <w:shd w:fill="auto" w:val="clear"/>
          <w:lang w:val="uk-UA" w:eastAsia="zh-CN" w:bidi="hi-IN"/>
        </w:rPr>
      </w:pPr>
      <w:r>
        <w:rPr>
          <w:rFonts w:eastAsia="Times New Roman" w:cs="Times New Roman" w:ascii="Times New Roman" w:hAnsi="Times New Roman"/>
          <w:b/>
          <w:i w:val="false"/>
          <w:iCs w:val="false"/>
          <w:color w:val="000000"/>
          <w:kern w:val="0"/>
          <w:sz w:val="24"/>
          <w:szCs w:val="24"/>
          <w:shd w:fill="auto" w:val="clear"/>
          <w:lang w:val="uk-UA" w:eastAsia="zh-CN" w:bidi="hi-IN"/>
        </w:rPr>
        <w:t xml:space="preserve">         </w:t>
      </w:r>
      <w:r>
        <w:rPr>
          <w:rFonts w:eastAsia="Times New Roman" w:cs="Times New Roman" w:ascii="Times New Roman" w:hAnsi="Times New Roman"/>
          <w:b/>
          <w:i w:val="false"/>
          <w:iCs w:val="false"/>
          <w:color w:val="000000"/>
          <w:kern w:val="0"/>
          <w:sz w:val="24"/>
          <w:szCs w:val="24"/>
          <w:shd w:fill="auto" w:val="clear"/>
          <w:lang w:val="uk-UA" w:eastAsia="zh-CN" w:bidi="hi-IN"/>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bCs/>
          <w:color w:val="000000"/>
          <w:sz w:val="24"/>
          <w:szCs w:val="24"/>
          <w:highlight w:val="white"/>
        </w:rPr>
        <w:t>«ЗАТВЕРДЖЕНО»</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000000"/>
          <w:sz w:val="24"/>
          <w:szCs w:val="24"/>
          <w:highlight w:val="white"/>
        </w:rPr>
        <w:t xml:space="preserve">                                                                    </w:t>
      </w:r>
      <w:r>
        <w:rPr>
          <w:rFonts w:eastAsia="Times New Roman" w:cs="Times New Roman" w:ascii="Times New Roman" w:hAnsi="Times New Roman"/>
          <w:b/>
          <w:bCs/>
          <w:color w:val="000000"/>
          <w:sz w:val="24"/>
          <w:szCs w:val="24"/>
          <w:highlight w:val="white"/>
        </w:rPr>
        <w:t>Протокол Уповноваженої особи</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ind w:left="-1418" w:hanging="0"/>
        <w:jc w:val="right"/>
        <w:rPr>
          <w:rFonts w:ascii="Times New Roman" w:hAnsi="Times New Roman"/>
          <w:b/>
          <w:b/>
          <w:bCs/>
        </w:rPr>
      </w:pPr>
      <w:r>
        <w:rPr>
          <w:rFonts w:ascii="Times New Roman" w:hAnsi="Times New Roman"/>
          <w:b/>
          <w:bCs/>
          <w:sz w:val="24"/>
          <w:szCs w:val="24"/>
        </w:rPr>
        <w:t>Мочульська Л.О.</w:t>
      </w:r>
    </w:p>
    <w:p>
      <w:pPr>
        <w:pStyle w:val="Normal"/>
        <w:spacing w:lineRule="auto" w:line="240" w:before="0" w:after="0"/>
        <w:jc w:val="right"/>
        <w:rPr>
          <w:rFonts w:ascii="Times New Roman" w:hAnsi="Times New Roman"/>
          <w:b/>
          <w:b/>
          <w:bCs/>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color w:val="auto"/>
          <w:kern w:val="0"/>
          <w:sz w:val="24"/>
          <w:szCs w:val="24"/>
          <w:lang w:val="uk-UA" w:eastAsia="zh-CN" w:bidi="hi-IN"/>
        </w:rPr>
        <w:t>03 квітня</w:t>
      </w:r>
      <w:r>
        <w:rPr>
          <w:rFonts w:eastAsia="Times New Roman" w:cs="Times New Roman" w:ascii="Times New Roman" w:hAnsi="Times New Roman"/>
          <w:b/>
          <w:bCs/>
          <w:color w:val="000000"/>
          <w:kern w:val="0"/>
          <w:sz w:val="24"/>
          <w:szCs w:val="24"/>
          <w:shd w:fill="auto" w:val="clear"/>
          <w:lang w:val="uk-UA" w:eastAsia="zh-CN" w:bidi="hi-IN"/>
        </w:rPr>
        <w:t xml:space="preserve"> 2024 року №  </w:t>
      </w:r>
      <w:r>
        <w:rPr>
          <w:rFonts w:eastAsia="Times New Roman" w:cs="Times New Roman" w:ascii="Times New Roman" w:hAnsi="Times New Roman"/>
          <w:b/>
          <w:bCs/>
          <w:color w:val="000000"/>
          <w:kern w:val="0"/>
          <w:sz w:val="24"/>
          <w:szCs w:val="24"/>
          <w:shd w:fill="auto" w:val="clear"/>
          <w:lang w:val="uk-UA" w:eastAsia="zh-CN" w:bidi="hi-IN"/>
        </w:rPr>
        <w:t>54</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eastAsia="Times New Roman" w:cs="Times New Roman" w:ascii="Times New Roman" w:hAnsi="Times New Roman"/>
          <w:b/>
          <w:color w:val="4A86E8"/>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Єдиний закупівельний словник  </w:t>
      </w:r>
      <w:r>
        <w:rPr>
          <w:rFonts w:eastAsia="Times New Roman" w:cs="Times New Roman" w:ascii="Times New Roman" w:hAnsi="Times New Roman"/>
          <w:b/>
          <w:bCs/>
          <w:i w:val="false"/>
          <w:iCs w:val="false"/>
          <w:sz w:val="24"/>
          <w:szCs w:val="24"/>
          <w:shd w:fill="auto" w:val="clear"/>
        </w:rPr>
        <w:t>код</w:t>
      </w:r>
      <w:r>
        <w:rPr>
          <w:rFonts w:ascii="Times New Roman" w:hAnsi="Times New Roman"/>
          <w:b/>
          <w:bCs/>
          <w:i w:val="false"/>
          <w:iCs w:val="false"/>
          <w:sz w:val="24"/>
          <w:szCs w:val="24"/>
          <w:shd w:fill="auto" w:val="clear"/>
        </w:rPr>
        <w:t xml:space="preserve"> </w:t>
      </w:r>
      <w:r>
        <w:rPr>
          <w:rFonts w:ascii="Times New Roman" w:hAnsi="Times New Roman"/>
          <w:b/>
          <w:bCs/>
          <w:i w:val="false"/>
          <w:iCs w:val="false"/>
          <w:sz w:val="24"/>
          <w:szCs w:val="24"/>
          <w:shd w:fill="auto" w:val="clear"/>
          <w:lang w:eastAsia="ru-RU"/>
        </w:rPr>
        <w:t xml:space="preserve"> </w:t>
      </w:r>
      <w:r>
        <w:rPr>
          <w:rFonts w:ascii="Times New Roman" w:hAnsi="Times New Roman"/>
          <w:b/>
          <w:bCs/>
          <w:i w:val="false"/>
          <w:iCs w:val="false"/>
          <w:sz w:val="24"/>
          <w:szCs w:val="24"/>
          <w:shd w:fill="auto" w:val="clear"/>
        </w:rPr>
        <w:t xml:space="preserve">ДК 021:2015: </w:t>
      </w:r>
      <w:r>
        <w:rPr>
          <w:rFonts w:cs="inherit;Times New Roman" w:ascii="Times New Roman" w:hAnsi="Times New Roman"/>
          <w:b/>
          <w:bCs/>
          <w:i w:val="false"/>
          <w:iCs w:val="false"/>
          <w:color w:val="000000"/>
          <w:sz w:val="24"/>
          <w:szCs w:val="24"/>
          <w:shd w:fill="auto" w:val="clear"/>
        </w:rPr>
        <w:t xml:space="preserve">44160000-9 </w:t>
      </w:r>
      <w:r>
        <w:rPr>
          <w:rFonts w:ascii="Times New Roman" w:hAnsi="Times New Roman"/>
          <w:b/>
          <w:bCs/>
          <w:i w:val="false"/>
          <w:iCs w:val="false"/>
          <w:color w:val="000000"/>
          <w:sz w:val="24"/>
          <w:szCs w:val="24"/>
          <w:shd w:fill="auto" w:val="clear"/>
        </w:rPr>
        <w:t xml:space="preserve">– </w:t>
      </w:r>
      <w:r>
        <w:rPr>
          <w:rFonts w:cs="inherit;Times New Roman" w:ascii="Times New Roman" w:hAnsi="Times New Roman"/>
          <w:b/>
          <w:bCs/>
          <w:i w:val="false"/>
          <w:iCs w:val="false"/>
          <w:color w:val="000000"/>
          <w:sz w:val="24"/>
          <w:szCs w:val="24"/>
          <w:shd w:fill="auto" w:val="clear"/>
        </w:rPr>
        <w:t>Магістралі, трубопроводи, труби, обсадні труби, тюбінги та супутні матеріали</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eastAsia="Times New Roman" w:cs="inherit;Times New Roman" w:ascii="Times New Roman" w:hAnsi="Times New Roman"/>
          <w:b/>
          <w:bCs/>
          <w:i w:val="false"/>
          <w:iCs w:val="false"/>
          <w:color w:val="000000"/>
          <w:sz w:val="24"/>
          <w:szCs w:val="24"/>
          <w:shd w:fill="auto" w:val="clear"/>
        </w:rPr>
        <w:t xml:space="preserve"> </w:t>
      </w:r>
      <w:r>
        <w:rPr>
          <w:rFonts w:eastAsia="Times New Roman" w:cs="inherit;Times New Roman" w:ascii="Times New Roman" w:hAnsi="Times New Roman"/>
          <w:b/>
          <w:bCs/>
          <w:i w:val="false"/>
          <w:iCs w:val="false"/>
          <w:color w:val="000000"/>
          <w:sz w:val="24"/>
          <w:szCs w:val="24"/>
          <w:shd w:fill="auto" w:val="clear"/>
        </w:rPr>
        <w:t xml:space="preserve">(Труби сталеві, кутники сталеві) </w:t>
      </w:r>
      <w:r>
        <w:rPr>
          <w:rFonts w:eastAsia="Times New Roman" w:cs="Times New Roman" w:ascii="Times New Roman" w:hAnsi="Times New Roman"/>
          <w:b/>
          <w:bCs/>
          <w:i w:val="false"/>
          <w:iCs w:val="false"/>
          <w:color w:val="000000"/>
          <w:sz w:val="24"/>
          <w:szCs w:val="24"/>
          <w:shd w:fill="auto" w:val="clear"/>
        </w:rPr>
        <w:t xml:space="preserve"> </w:t>
      </w:r>
    </w:p>
    <w:p>
      <w:pPr>
        <w:pStyle w:val="Normal"/>
        <w:spacing w:lineRule="auto" w:line="240" w:before="240" w:after="0"/>
        <w:rPr>
          <w:rFonts w:ascii="Times New Roman" w:hAnsi="Times New Roman"/>
          <w:shd w:fill="auto" w:val="clear"/>
        </w:rPr>
      </w:pPr>
      <w:r>
        <w:rPr>
          <w:rFonts w:ascii="Times New Roman" w:hAnsi="Times New Roman"/>
          <w:shd w:fill="auto"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м. Сокаль</w:t>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2024 рік</w:t>
      </w:r>
    </w:p>
    <w:p>
      <w:pPr>
        <w:pStyle w:val="Normal"/>
        <w:spacing w:lineRule="auto" w:line="240" w:before="0" w:after="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5"/>
        <w:gridCol w:w="2800"/>
        <w:gridCol w:w="645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5"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left"/>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left"/>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0639761312,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left="0" w:right="0" w:hanging="0"/>
              <w:jc w:val="both"/>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Єдиний закупівельний словник  </w:t>
            </w:r>
            <w:r>
              <w:rPr>
                <w:rFonts w:eastAsia="Times New Roman" w:cs="Times New Roman" w:ascii="Times New Roman" w:hAnsi="Times New Roman"/>
                <w:b/>
                <w:bCs/>
                <w:i w:val="false"/>
                <w:iCs w:val="false"/>
                <w:sz w:val="24"/>
                <w:szCs w:val="24"/>
                <w:shd w:fill="auto" w:val="clear"/>
              </w:rPr>
              <w:t>код</w:t>
            </w:r>
            <w:r>
              <w:rPr>
                <w:rFonts w:ascii="Times New Roman" w:hAnsi="Times New Roman"/>
                <w:b/>
                <w:bCs/>
                <w:i w:val="false"/>
                <w:iCs w:val="false"/>
                <w:sz w:val="24"/>
                <w:szCs w:val="24"/>
                <w:shd w:fill="auto" w:val="clear"/>
              </w:rPr>
              <w:t xml:space="preserve"> </w:t>
            </w:r>
            <w:r>
              <w:rPr>
                <w:rFonts w:ascii="Times New Roman" w:hAnsi="Times New Roman"/>
                <w:b/>
                <w:bCs/>
                <w:i w:val="false"/>
                <w:iCs w:val="false"/>
                <w:sz w:val="24"/>
                <w:szCs w:val="24"/>
                <w:shd w:fill="auto" w:val="clear"/>
                <w:lang w:eastAsia="ru-RU"/>
              </w:rPr>
              <w:t xml:space="preserve"> </w:t>
            </w:r>
            <w:r>
              <w:rPr>
                <w:rFonts w:ascii="Times New Roman" w:hAnsi="Times New Roman"/>
                <w:b/>
                <w:bCs/>
                <w:i w:val="false"/>
                <w:iCs w:val="false"/>
                <w:sz w:val="24"/>
                <w:szCs w:val="24"/>
                <w:shd w:fill="auto" w:val="clear"/>
              </w:rPr>
              <w:t xml:space="preserve">ДК 021:2015: </w:t>
            </w:r>
            <w:r>
              <w:rPr>
                <w:rFonts w:cs="inherit;Times New Roman" w:ascii="Times New Roman" w:hAnsi="Times New Roman"/>
                <w:b/>
                <w:bCs/>
                <w:i w:val="false"/>
                <w:iCs w:val="false"/>
                <w:color w:val="000000"/>
                <w:sz w:val="24"/>
                <w:szCs w:val="24"/>
                <w:shd w:fill="auto" w:val="clear"/>
              </w:rPr>
              <w:t xml:space="preserve">44160000-9 </w:t>
            </w:r>
            <w:r>
              <w:rPr>
                <w:rFonts w:ascii="Times New Roman" w:hAnsi="Times New Roman"/>
                <w:b/>
                <w:bCs/>
                <w:i w:val="false"/>
                <w:iCs w:val="false"/>
                <w:color w:val="000000"/>
                <w:sz w:val="24"/>
                <w:szCs w:val="24"/>
                <w:shd w:fill="auto" w:val="clear"/>
              </w:rPr>
              <w:t xml:space="preserve">– </w:t>
            </w:r>
            <w:r>
              <w:rPr>
                <w:rFonts w:cs="inherit;Times New Roman" w:ascii="Times New Roman" w:hAnsi="Times New Roman"/>
                <w:b/>
                <w:bCs/>
                <w:i w:val="false"/>
                <w:iCs w:val="false"/>
                <w:color w:val="000000"/>
                <w:sz w:val="24"/>
                <w:szCs w:val="24"/>
                <w:shd w:fill="auto" w:val="clear"/>
              </w:rPr>
              <w:t xml:space="preserve">Магістралі, трубопроводи, труби, обсадні труби, тюбінги та супутні матеріал </w:t>
            </w:r>
            <w:r>
              <w:rPr>
                <w:rFonts w:eastAsia="Times New Roman" w:cs="inherit;Times New Roman" w:ascii="Times New Roman" w:hAnsi="Times New Roman"/>
                <w:b/>
                <w:bCs/>
                <w:i w:val="false"/>
                <w:iCs w:val="false"/>
                <w:color w:val="000000"/>
                <w:sz w:val="24"/>
                <w:szCs w:val="24"/>
                <w:shd w:fill="auto" w:val="clear"/>
              </w:rPr>
              <w:t xml:space="preserve">(Труби сталеві, кутники сталеві) </w:t>
            </w:r>
            <w:r>
              <w:rPr>
                <w:rFonts w:eastAsia="Times New Roman" w:cs="Times New Roman" w:ascii="Times New Roman" w:hAnsi="Times New Roman"/>
                <w:b/>
                <w:bCs/>
                <w:i w:val="false"/>
                <w:iCs w:val="false"/>
                <w:color w:val="000000"/>
                <w:sz w:val="24"/>
                <w:szCs w:val="24"/>
                <w:shd w:fill="auto" w:val="clear"/>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4.3</w:t>
            </w:r>
          </w:p>
        </w:tc>
        <w:tc>
          <w:tcPr>
            <w:tcW w:w="2800"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Очікувана вартість закупівлі :</w:t>
            </w:r>
          </w:p>
        </w:tc>
        <w:tc>
          <w:tcPr>
            <w:tcW w:w="645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color w:val="000000"/>
                <w:kern w:val="0"/>
                <w:sz w:val="24"/>
                <w:szCs w:val="24"/>
                <w:shd w:fill="auto" w:val="clear"/>
                <w:lang w:val="uk-UA" w:eastAsia="zh-CN" w:bidi="hi-IN"/>
              </w:rPr>
              <w:t xml:space="preserve">88328,75 </w:t>
            </w:r>
            <w:r>
              <w:rPr>
                <w:rFonts w:eastAsia="Times New Roman" w:cs="Times New Roman" w:ascii="Times New Roman" w:hAnsi="Times New Roman"/>
                <w:b/>
                <w:bCs/>
                <w:kern w:val="0"/>
                <w:sz w:val="24"/>
                <w:szCs w:val="24"/>
                <w:shd w:fill="auto" w:val="clear"/>
                <w:lang w:val="uk-UA" w:eastAsia="zh-CN" w:bidi="hi-IN"/>
                <w14:ligatures w14:val="none"/>
              </w:rPr>
              <w:t xml:space="preserve"> грн. з ПДВ.</w:t>
            </w:r>
          </w:p>
          <w:p>
            <w:pPr>
              <w:pStyle w:val="LOnormal"/>
              <w:widowControl w:val="false"/>
              <w:suppressAutoHyphens w:val="true"/>
              <w:spacing w:before="0" w:after="160"/>
              <w:ind w:right="120" w:hanging="0"/>
              <w:jc w:val="both"/>
              <w:rPr>
                <w:rFonts w:ascii="Times New Roman" w:hAnsi="Times New Roman" w:eastAsia="Times New Roman" w:cs="Times New Roman"/>
                <w:sz w:val="24"/>
                <w:szCs w:val="24"/>
                <w:shd w:fill="FFFF00" w:val="clear"/>
              </w:rPr>
            </w:pPr>
            <w:r>
              <w:rPr>
                <w:rFonts w:cs="Times New Roman" w:ascii="Times New Roman" w:hAnsi="Times New Roman"/>
                <w:color w:val="000000"/>
                <w:kern w:val="0"/>
                <w:sz w:val="24"/>
                <w:szCs w:val="24"/>
                <w:lang w:val="uk-UA" w:eastAsia="zh-CN" w:bidi="hi-IN"/>
              </w:rPr>
              <w:t>Примітка: в ціну мають бути включені всі витрати на транспортування, страхування, сплати мита податків та інших зборів і обов’язкових платежів.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 xml:space="preserve">кількість товару та місце його поставки </w:t>
            </w:r>
            <w:r>
              <w:rPr>
                <w:rFonts w:ascii="Times New Roman" w:hAnsi="Times New Roman"/>
                <w:sz w:val="24"/>
                <w:szCs w:val="24"/>
                <w:lang w:val="uk-UA" w:eastAsia="zh-CN" w:bidi="hi-IN"/>
              </w:rPr>
              <w:t>товару</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55"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i w:val="false"/>
                <w:i w:val="false"/>
                <w:iCs w:val="false"/>
                <w:sz w:val="24"/>
                <w:szCs w:val="24"/>
                <w:shd w:fill="auto" w:val="clear"/>
              </w:rPr>
            </w:pPr>
            <w:r>
              <w:rPr>
                <w:rFonts w:eastAsia="Times New Roman" w:cs="Times New Roman" w:ascii="Times New Roman" w:hAnsi="Times New Roman"/>
                <w:i w:val="false"/>
                <w:iCs w:val="false"/>
                <w:color w:val="000000"/>
                <w:kern w:val="0"/>
                <w:sz w:val="24"/>
                <w:szCs w:val="24"/>
                <w:shd w:fill="auto" w:val="clear"/>
                <w:lang w:val="uk-UA" w:eastAsia="zh-CN" w:bidi="hi-IN"/>
              </w:rPr>
              <w:t>Кількість товару:</w:t>
            </w:r>
          </w:p>
          <w:tbl>
            <w:tblPr>
              <w:tblW w:w="6236" w:type="dxa"/>
              <w:jc w:val="left"/>
              <w:tblInd w:w="0" w:type="dxa"/>
              <w:tblLayout w:type="fixed"/>
              <w:tblCellMar>
                <w:top w:w="55" w:type="dxa"/>
                <w:left w:w="55" w:type="dxa"/>
                <w:bottom w:w="55" w:type="dxa"/>
                <w:right w:w="55" w:type="dxa"/>
              </w:tblCellMar>
            </w:tblPr>
            <w:tblGrid>
              <w:gridCol w:w="621"/>
              <w:gridCol w:w="3408"/>
              <w:gridCol w:w="1189"/>
              <w:gridCol w:w="1017"/>
            </w:tblGrid>
            <w:tr>
              <w:trPr/>
              <w:tc>
                <w:tcPr>
                  <w:tcW w:w="621"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п/п</w:t>
                  </w:r>
                </w:p>
              </w:tc>
              <w:tc>
                <w:tcPr>
                  <w:tcW w:w="3408"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Перелік матеріалів</w:t>
                  </w:r>
                </w:p>
              </w:tc>
              <w:tc>
                <w:tcPr>
                  <w:tcW w:w="1189" w:type="dxa"/>
                  <w:tcBorders>
                    <w:top w:val="single" w:sz="4" w:space="0" w:color="000000"/>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Одиниця</w:t>
                  </w:r>
                </w:p>
                <w:p>
                  <w:pPr>
                    <w:pStyle w:val="Normal"/>
                    <w:widowControl w:val="false"/>
                    <w:suppressAutoHyphens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виміру</w:t>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Кількість</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1</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Труб</w:t>
                  </w:r>
                  <w:r>
                    <w:rPr>
                      <w:rFonts w:eastAsia="Times New Roman" w:cs="Times New Roman" w:ascii="Times New Roman" w:hAnsi="Times New Roman"/>
                      <w:sz w:val="24"/>
                      <w:szCs w:val="24"/>
                      <w:shd w:fill="auto" w:val="clear"/>
                      <w:lang w:val="uk-UA" w:eastAsia="ru-RU"/>
                    </w:rPr>
                    <w:t>а сталева д. 50*3,0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 xml:space="preserve">  </w:t>
                  </w:r>
                  <w:r>
                    <w:rPr>
                      <w:rFonts w:eastAsia="Times New Roman" w:cs="Times New Roman" w:ascii="Times New Roman" w:hAnsi="Times New Roman"/>
                      <w:sz w:val="24"/>
                      <w:szCs w:val="24"/>
                      <w:shd w:fill="auto" w:val="clear"/>
                      <w:lang w:val="ru-RU"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2</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Труб</w:t>
                  </w:r>
                  <w:r>
                    <w:rPr>
                      <w:rFonts w:eastAsia="Times New Roman" w:cs="Times New Roman" w:ascii="Times New Roman" w:hAnsi="Times New Roman"/>
                      <w:sz w:val="24"/>
                      <w:szCs w:val="24"/>
                      <w:shd w:fill="auto" w:val="clear"/>
                      <w:lang w:val="uk-UA" w:eastAsia="ru-RU"/>
                    </w:rPr>
                    <w:t>а сталева д.40*3,0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 xml:space="preserve">  </w:t>
                  </w: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130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3</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Труб</w:t>
                  </w:r>
                  <w:r>
                    <w:rPr>
                      <w:rFonts w:eastAsia="Times New Roman" w:cs="Times New Roman" w:ascii="Times New Roman" w:hAnsi="Times New Roman"/>
                      <w:sz w:val="24"/>
                      <w:szCs w:val="24"/>
                      <w:shd w:fill="auto" w:val="clear"/>
                      <w:lang w:val="uk-UA" w:eastAsia="ru-RU"/>
                    </w:rPr>
                    <w:t>а сталева д.32*2,8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 xml:space="preserve">  </w:t>
                  </w: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150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4</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Труба сталева д.25*2,5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150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5</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Кутник сталевий 50*50*4,0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45</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6</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Кутник сталевий 45*45*4,0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80</w:t>
                  </w:r>
                </w:p>
              </w:tc>
            </w:tr>
            <w:tr>
              <w:trPr/>
              <w:tc>
                <w:tcPr>
                  <w:tcW w:w="621"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7</w:t>
                  </w:r>
                </w:p>
              </w:tc>
              <w:tc>
                <w:tcPr>
                  <w:tcW w:w="3408" w:type="dxa"/>
                  <w:tcBorders>
                    <w:left w:val="single" w:sz="4" w:space="0" w:color="000000"/>
                    <w:bottom w:val="single" w:sz="4" w:space="0" w:color="000000"/>
                  </w:tcBorders>
                </w:tcPr>
                <w:p>
                  <w:pPr>
                    <w:pStyle w:val="Normal"/>
                    <w:widowControl w:val="false"/>
                    <w:suppressAutoHyphens w:val="false"/>
                    <w:spacing w:lineRule="auto" w:line="240" w:before="0" w:after="0"/>
                    <w:ind w:left="113" w:right="0" w:hanging="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 xml:space="preserve">Кутник сталевий </w:t>
                  </w:r>
                  <w:r>
                    <w:rPr>
                      <w:rFonts w:eastAsia="Times New Roman" w:cs="Times New Roman" w:ascii="Times New Roman" w:hAnsi="Times New Roman"/>
                      <w:sz w:val="24"/>
                      <w:szCs w:val="24"/>
                      <w:shd w:fill="auto" w:val="clear"/>
                      <w:lang w:val="uk-UA" w:eastAsia="ru-RU"/>
                    </w:rPr>
                    <w:t>35*35*3,0 мм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мп</w:t>
                  </w:r>
                </w:p>
              </w:tc>
              <w:tc>
                <w:tcPr>
                  <w:tcW w:w="1017"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30</w:t>
                  </w:r>
                </w:p>
              </w:tc>
            </w:tr>
            <w:tr>
              <w:trPr/>
              <w:tc>
                <w:tcPr>
                  <w:tcW w:w="4029" w:type="dxa"/>
                  <w:gridSpan w:val="2"/>
                  <w:tcBorders>
                    <w:left w:val="single" w:sz="4" w:space="0" w:color="000000"/>
                    <w:bottom w:val="single" w:sz="4" w:space="0" w:color="000000"/>
                  </w:tcBorders>
                </w:tcPr>
                <w:p>
                  <w:pPr>
                    <w:pStyle w:val="Normal"/>
                    <w:widowControl w:val="false"/>
                    <w:suppressAutoHyphens w:val="false"/>
                    <w:spacing w:lineRule="auto" w:line="240" w:before="0" w:after="0"/>
                    <w:rPr>
                      <w:rFonts w:ascii="Times New Roman" w:hAnsi="Times New Roman" w:eastAsia="Times New Roman" w:cs="Times New Roman"/>
                      <w:sz w:val="24"/>
                      <w:szCs w:val="24"/>
                      <w:shd w:fill="auto" w:val="clear"/>
                      <w:lang w:val="ru-RU" w:eastAsia="ru-RU"/>
                    </w:rPr>
                  </w:pPr>
                  <w:r>
                    <w:rPr>
                      <w:rFonts w:eastAsia="Times New Roman" w:cs="Times New Roman" w:ascii="Times New Roman" w:hAnsi="Times New Roman"/>
                      <w:sz w:val="24"/>
                      <w:szCs w:val="24"/>
                      <w:shd w:fill="auto" w:val="clear"/>
                      <w:lang w:val="ru-RU" w:eastAsia="ru-RU"/>
                    </w:rPr>
                    <w:t xml:space="preserve">                                  </w:t>
                  </w:r>
                  <w:r>
                    <w:rPr>
                      <w:rFonts w:eastAsia="Times New Roman" w:cs="Times New Roman" w:ascii="Times New Roman" w:hAnsi="Times New Roman"/>
                      <w:sz w:val="24"/>
                      <w:szCs w:val="24"/>
                      <w:shd w:fill="auto" w:val="clear"/>
                      <w:lang w:val="ru-RU" w:eastAsia="ru-RU"/>
                    </w:rPr>
                    <w:t>Разом:</w:t>
                  </w:r>
                </w:p>
              </w:tc>
              <w:tc>
                <w:tcPr>
                  <w:tcW w:w="1189" w:type="dxa"/>
                  <w:tcBorders>
                    <w:left w:val="single" w:sz="4" w:space="0" w:color="000000"/>
                    <w:bottom w:val="single" w:sz="4" w:space="0" w:color="000000"/>
                  </w:tcBorders>
                </w:tcPr>
                <w:p>
                  <w:pPr>
                    <w:pStyle w:val="Normal"/>
                    <w:widowControl w:val="false"/>
                    <w:suppressAutoHyphens w:val="false"/>
                    <w:spacing w:lineRule="auto" w:line="240" w:before="0" w:after="0"/>
                    <w:jc w:val="center"/>
                    <w:rPr>
                      <w:rFonts w:ascii="Times New Roman" w:hAnsi="Times New Roman" w:eastAsia="Times New Roman" w:cs="Times New Roman"/>
                      <w:sz w:val="24"/>
                      <w:szCs w:val="24"/>
                      <w:shd w:fill="auto" w:val="clear"/>
                      <w:lang w:val="uk-UA" w:eastAsia="ru-RU"/>
                    </w:rPr>
                  </w:pPr>
                  <w:r>
                    <w:rPr>
                      <w:rFonts w:eastAsia="Times New Roman" w:cs="Times New Roman" w:ascii="Times New Roman" w:hAnsi="Times New Roman"/>
                      <w:sz w:val="24"/>
                      <w:szCs w:val="24"/>
                      <w:shd w:fill="auto" w:val="clear"/>
                      <w:lang w:val="uk-UA" w:eastAsia="ru-RU"/>
                    </w:rPr>
                    <w:t>мп</w:t>
                  </w:r>
                </w:p>
              </w:tc>
              <w:tc>
                <w:tcPr>
                  <w:tcW w:w="1017" w:type="dxa"/>
                  <w:tcBorders>
                    <w:left w:val="single" w:sz="4" w:space="0" w:color="000000"/>
                    <w:bottom w:val="single" w:sz="4" w:space="0" w:color="000000"/>
                    <w:right w:val="single" w:sz="4" w:space="0" w:color="000000"/>
                  </w:tcBorders>
                </w:tcPr>
                <w:p>
                  <w:pPr>
                    <w:pStyle w:val="Style23"/>
                    <w:widowControl w:val="false"/>
                    <w:spacing w:before="0" w:after="160"/>
                    <w:jc w:val="center"/>
                    <w:rPr>
                      <w:rFonts w:ascii="Times New Roman" w:hAnsi="Times New Roman"/>
                    </w:rPr>
                  </w:pPr>
                  <w:r>
                    <w:rPr>
                      <w:rFonts w:ascii="Times New Roman" w:hAnsi="Times New Roman"/>
                    </w:rPr>
                    <w:t>635</w:t>
                  </w:r>
                </w:p>
              </w:tc>
            </w:tr>
          </w:tbl>
          <w:p>
            <w:pPr>
              <w:pStyle w:val="Normal"/>
              <w:widowControl w:val="false"/>
              <w:spacing w:before="0" w:after="160"/>
              <w:ind w:left="0" w:right="0" w:hanging="0"/>
              <w:jc w:val="both"/>
              <w:rPr>
                <w:rFonts w:ascii="Times New Roman" w:hAnsi="Times New Roman"/>
                <w:sz w:val="24"/>
                <w:szCs w:val="24"/>
                <w:shd w:fill="auto" w:val="clear"/>
              </w:rPr>
            </w:pPr>
            <w:r>
              <w:rPr>
                <w:rFonts w:eastAsia="Times New Roman" w:cs="Times New Roman" w:ascii="Times New Roman" w:hAnsi="Times New Roman"/>
                <w:i/>
                <w:sz w:val="24"/>
                <w:szCs w:val="24"/>
                <w:shd w:fill="auto" w:val="clear"/>
              </w:rPr>
              <w:t xml:space="preserve"> </w:t>
            </w:r>
            <w:r>
              <w:rPr>
                <w:rFonts w:ascii="Times New Roman" w:hAnsi="Times New Roman"/>
                <w:sz w:val="24"/>
                <w:szCs w:val="24"/>
                <w:shd w:fill="auto" w:val="clear"/>
              </w:rPr>
              <w:t xml:space="preserve">Відвантаження замовленого Товару Замовнику, здійснюється у кількості, номенклатурі та за ціною, що визначається в специфікації до укладеного Договору протягом трьох робочих днів з моменту отримання заявки Замовника за адресою: </w:t>
            </w:r>
            <w:r>
              <w:rPr>
                <w:rFonts w:ascii="Times New Roman" w:hAnsi="Times New Roman"/>
                <w:b/>
                <w:bCs/>
                <w:sz w:val="24"/>
                <w:szCs w:val="24"/>
                <w:shd w:fill="auto" w:val="clear"/>
              </w:rPr>
              <w:t xml:space="preserve">вул. Тартаківська, 90 м. Сокаль, Червоноградського району, Львівська область, 80001. </w:t>
            </w:r>
            <w:r>
              <w:rPr>
                <w:rFonts w:eastAsia="Times New Roman" w:cs="Times New Roman" w:ascii="Times New Roman" w:hAnsi="Times New Roman"/>
                <w:i w:val="false"/>
                <w:iCs w:val="false"/>
                <w:sz w:val="24"/>
                <w:szCs w:val="24"/>
                <w:shd w:fill="auto" w:val="clear"/>
              </w:rPr>
              <w:t>Кількість замовлень не обмежена протягом 2024 року.</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до 31 грудня  2024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ascii="Times New Roman" w:hAnsi="Times New Roman"/>
              </w:rPr>
              <w:t>;</w:t>
            </w:r>
          </w:p>
          <w:p>
            <w:pPr>
              <w:pStyle w:val="Normal"/>
              <w:widowControl w:val="false"/>
              <w:numPr>
                <w:ilvl w:val="0"/>
                <w:numId w:val="1"/>
              </w:numPr>
              <w:ind w:left="720" w:hanging="3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FFFFFF" w:val="clear"/>
              </w:rPr>
              <w:t>згідно з Додатком 2</w:t>
            </w:r>
            <w:r>
              <w:rPr>
                <w:rFonts w:eastAsia="Times New Roman" w:cs="Times New Roman" w:ascii="Times New Roman" w:hAnsi="Times New Roman"/>
                <w:sz w:val="24"/>
                <w:szCs w:val="24"/>
                <w:shd w:fill="FFFFFF" w:val="clear"/>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FFFFFF" w:val="clear"/>
              </w:rPr>
              <w:t xml:space="preserve">Зверніть увагу: документи тендерної пропозиції, які надані не у формі електронного документа (без КЕП/УЕП </w:t>
            </w:r>
            <w:r>
              <w:rPr>
                <w:rFonts w:eastAsia="Times New Roman" w:cs="Times New Roman" w:ascii="Times New Roman" w:hAnsi="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p>
            <w:pPr>
              <w:pStyle w:val="Normal"/>
              <w:widowControl w:val="false"/>
              <w:spacing w:before="0" w:after="160"/>
              <w:ind w:right="120" w:hanging="0"/>
              <w:jc w:val="both"/>
              <w:rPr>
                <w:rFonts w:ascii="Times New Roman" w:hAnsi="Times New Roman" w:eastAsia="Times New Roman" w:cs="Times New Roman"/>
                <w:i/>
                <w:i/>
                <w:color w:val="FF0000"/>
                <w:sz w:val="24"/>
                <w:szCs w:val="24"/>
                <w:shd w:fill="FFFFFF" w:val="clear"/>
              </w:rPr>
            </w:pPr>
            <w:r>
              <w:rPr>
                <w:rFonts w:eastAsia="Times New Roman" w:cs="Times New Roman" w:ascii="Times New Roman" w:hAnsi="Times New Roman"/>
                <w:i/>
                <w:color w:val="FF0000"/>
                <w:sz w:val="24"/>
                <w:szCs w:val="24"/>
                <w:shd w:fill="FFFFFF" w:val="clea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передбачається.</w:t>
            </w:r>
          </w:p>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Інформація про субпідрядника /співвиконавця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Не передбачено.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t xml:space="preserve">Кінцевий строк подання тендерних пропозицій — </w:t>
            </w:r>
            <w:r>
              <w:rPr>
                <w:rFonts w:eastAsia="Calibri" w:cs="Calibri" w:ascii="Times New Roman" w:hAnsi="Times New Roman"/>
                <w:b/>
                <w:bCs/>
                <w:color w:val="000000"/>
                <w:kern w:val="0"/>
                <w:sz w:val="24"/>
                <w:szCs w:val="24"/>
                <w:shd w:fill="auto" w:val="clear"/>
                <w:lang w:val="uk-UA" w:eastAsia="zh-CN" w:bidi="hi-IN"/>
              </w:rPr>
              <w:t>11 квітня</w:t>
            </w:r>
            <w:r>
              <w:rPr>
                <w:rFonts w:ascii="Times New Roman" w:hAnsi="Times New Roman"/>
                <w:b/>
                <w:bCs/>
                <w:sz w:val="24"/>
                <w:szCs w:val="24"/>
                <w:shd w:fill="auto" w:val="clear"/>
              </w:rPr>
              <w:t xml:space="preserve"> 2024 року , </w:t>
            </w:r>
            <w:r>
              <w:rPr>
                <w:rFonts w:ascii="Times New Roman" w:hAnsi="Times New Roman"/>
                <w:b/>
                <w:bCs/>
                <w:sz w:val="24"/>
                <w:szCs w:val="24"/>
                <w:shd w:fill="auto" w:val="clear"/>
              </w:rPr>
              <w:t>0</w:t>
            </w:r>
            <w:r>
              <w:rPr>
                <w:rFonts w:ascii="Times New Roman" w:hAnsi="Times New Roman"/>
                <w:b/>
                <w:bCs/>
                <w:sz w:val="24"/>
                <w:szCs w:val="24"/>
                <w:shd w:fill="auto" w:val="clear"/>
              </w:rPr>
              <w:t>0: 00 год.</w:t>
            </w:r>
          </w:p>
          <w:p>
            <w:pPr>
              <w:pStyle w:val="Normal"/>
              <w:widowControl w:val="false"/>
              <w:rPr>
                <w:rFonts w:ascii="Times New Roman" w:hAnsi="Times New Roman"/>
                <w:sz w:val="24"/>
                <w:szCs w:val="24"/>
              </w:rPr>
            </w:pPr>
            <w:r>
              <w:rPr>
                <w:rFonts w:ascii="Times New Roman" w:hAnsi="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sz w:val="24"/>
                <w:szCs w:val="24"/>
              </w:rPr>
            </w:pPr>
            <w:r>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ascii="Times New Roman" w:hAnsi="Times New Roman"/>
                <w:sz w:val="24"/>
                <w:szCs w:val="24"/>
              </w:rPr>
              <w:t>Розмір мінімального кроку п</w:t>
            </w:r>
            <w:r>
              <w:rPr>
                <w:rFonts w:eastAsia="Times New Roman" w:cs="Times New Roman" w:ascii="Times New Roman" w:hAnsi="Times New Roman"/>
                <w:sz w:val="24"/>
                <w:szCs w:val="24"/>
                <w:highlight w:val="white"/>
              </w:rPr>
              <w:t xml:space="preserve">ониження ціни під час електронного аукціону – </w:t>
            </w:r>
            <w:r>
              <w:rPr>
                <w:rFonts w:eastAsia="Times New Roman" w:cs="Times New Roman" w:ascii="Times New Roman" w:hAnsi="Times New Roman"/>
                <w:sz w:val="24"/>
                <w:szCs w:val="24"/>
                <w:shd w:fill="auto" w:val="clear"/>
              </w:rPr>
              <w:t>0,5 %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eastAsia="Times New Roman" w:cs="Times New Roman" w:ascii="Times New Roman" w:hAnsi="Times New Roman"/>
                <w:color w:val="00B050"/>
                <w:sz w:val="24"/>
                <w:szCs w:val="24"/>
                <w:highlight w:val="white"/>
              </w:rPr>
              <w:t xml:space="preserve"> </w:t>
            </w:r>
            <w:r>
              <w:rPr>
                <w:rFonts w:ascii="Times New Roman" w:hAnsi="Times New Roman"/>
                <w:sz w:val="24"/>
                <w:szCs w:val="24"/>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тендерна пропозиція:</w:t>
            </w:r>
          </w:p>
          <w:p>
            <w:pPr>
              <w:pStyle w:val="Normal"/>
              <w:widowControl w:val="false"/>
              <w:shd w:val="clear" w:fill="FFFFFF"/>
              <w:spacing w:lineRule="auto" w:line="240" w:before="0" w:after="160"/>
              <w:ind w:firstLine="567"/>
              <w:jc w:val="both"/>
              <w:rPr/>
            </w:pPr>
            <w:r>
              <w:rPr>
                <w:rFonts w:eastAsia="Times New Roman" w:cs="Times New Roman" w:ascii="Times New Roman" w:hAnsi="Times New Roman"/>
                <w:sz w:val="24"/>
                <w:szCs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hd w:fill="FFFFFF" w:val="clear"/>
                <w:szCs w:val="24"/>
                <w:rFonts w:eastAsia="Times New Roman" w:cs="Times New Roman" w:ascii="Times New Roman" w:hAnsi="Times New Roman"/>
              </w:rPr>
              <w:instrText> HYPERLINK "https://zakon.rada.gov.ua/laws/show/1178-2022-п" \l "n131"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пункту 4</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shd w:fill="auto" w:val="clear"/>
              </w:rPr>
              <w:t>(залишити у разі закупівлі товару, який можна привести до кратності упаковки)</w:t>
            </w:r>
            <w:r>
              <w:rPr>
                <w:rFonts w:eastAsia="Times New Roman" w:cs="Times New Roman" w:ascii="Times New Roman" w:hAnsi="Times New Roman"/>
                <w:sz w:val="24"/>
                <w:szCs w:val="24"/>
                <w:shd w:fill="auto" w:val="clear"/>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highlight w:val="cyan"/>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w:t>
      </w:r>
      <w:r>
        <w:rPr>
          <w:rFonts w:eastAsia="Times New Roman" w:cs="Times New Roman" w:ascii="Times New Roman" w:hAnsi="Times New Roman"/>
          <w:sz w:val="24"/>
          <w:szCs w:val="24"/>
          <w:shd w:fill="auto" w:val="clear"/>
        </w:rPr>
        <w:t>аток 1 до тендерної документації на 6  арк. в 1 прим.</w:t>
      </w:r>
    </w:p>
    <w:p>
      <w:pPr>
        <w:pStyle w:val="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2. Додаток 2 до тендерної документації на 2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r>
        <w:rPr>
          <w:rFonts w:eastAsia="Times New Roman" w:cs="Times New Roman" w:ascii="Times New Roman" w:hAnsi="Times New Roman"/>
          <w:sz w:val="24"/>
          <w:szCs w:val="24"/>
          <w:shd w:fill="auto" w:val="clear"/>
        </w:rPr>
        <w:t>3. Додаток 3 до тендерної документації на 9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r>
        <w:rPr>
          <w:rFonts w:eastAsia="Times New Roman" w:cs="Times New Roman" w:ascii="Times New Roman" w:hAnsi="Times New Roman"/>
          <w:sz w:val="24"/>
          <w:szCs w:val="24"/>
          <w:highlight w:val="white"/>
          <w:shd w:fill="FFFF00" w:val="clear"/>
        </w:rPr>
        <w:t>4. Додаток 4 до тендерної документації на 2 арк. в 1 при.</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3">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107</TotalTime>
  <Application>LibreOffice/7.1.6.2$Windows_X86_64 LibreOffice_project/0e133318fcee89abacd6a7d077e292f1145735c3</Application>
  <AppVersion>15.0000</AppVersion>
  <Pages>26</Pages>
  <Words>6842</Words>
  <Characters>46573</Characters>
  <CharactersWithSpaces>53577</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dcterms:modified xsi:type="dcterms:W3CDTF">2024-04-03T10:27:57Z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