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4301E2">
              <w:rPr>
                <w:rFonts w:ascii="Times New Roman" w:hAnsi="Times New Roman" w:cs="Times New Roman"/>
              </w:rPr>
              <w:t>07</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4301E2">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4301E2">
              <w:rPr>
                <w:rFonts w:ascii="Times New Roman" w:hAnsi="Times New Roman" w:cs="Times New Roman"/>
              </w:rPr>
              <w:t>55</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56997" w:rsidP="00056997">
      <w:pPr>
        <w:jc w:val="center"/>
        <w:rPr>
          <w:b/>
          <w:color w:val="5F497A"/>
        </w:rPr>
      </w:pP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4F219A" w:rsidRPr="00406098" w:rsidRDefault="004F219A" w:rsidP="004F219A">
      <w:pPr>
        <w:jc w:val="center"/>
        <w:rPr>
          <w:rFonts w:ascii="Times New Roman" w:hAnsi="Times New Roman" w:cs="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закупівлю: Свинина</w:t>
      </w:r>
      <w:r>
        <w:rPr>
          <w:rFonts w:ascii="Times New Roman" w:hAnsi="Times New Roman" w:cs="Times New Roman"/>
          <w:b/>
          <w:sz w:val="28"/>
          <w:szCs w:val="28"/>
        </w:rPr>
        <w:t>, яловичина, курятина</w:t>
      </w:r>
    </w:p>
    <w:p w:rsidR="004F219A" w:rsidRPr="00406098" w:rsidRDefault="004F219A" w:rsidP="004F219A">
      <w:pPr>
        <w:jc w:val="center"/>
        <w:rPr>
          <w:rFonts w:ascii="Times New Roman" w:hAnsi="Times New Roman" w:cs="Times New Roman"/>
          <w:b/>
          <w:sz w:val="28"/>
          <w:szCs w:val="28"/>
        </w:rPr>
      </w:pPr>
      <w:r w:rsidRPr="00406098">
        <w:rPr>
          <w:rFonts w:ascii="Times New Roman" w:hAnsi="Times New Roman" w:cs="Times New Roman"/>
          <w:b/>
          <w:sz w:val="28"/>
          <w:szCs w:val="28"/>
        </w:rPr>
        <w:t xml:space="preserve"> (код ДК 021:2015-15110000-2 М’ясо)</w:t>
      </w: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4F219A" w:rsidTr="00025E62">
        <w:trPr>
          <w:trHeight w:val="335"/>
          <w:jc w:val="center"/>
        </w:trPr>
        <w:tc>
          <w:tcPr>
            <w:tcW w:w="567" w:type="dxa"/>
            <w:shd w:val="clear" w:color="auto" w:fill="auto"/>
          </w:tcPr>
          <w:p w:rsidR="004F219A" w:rsidRDefault="004F21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4F219A" w:rsidRDefault="004F21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4F219A" w:rsidRDefault="004F219A" w:rsidP="004F219A">
            <w:pPr>
              <w:rPr>
                <w:rFonts w:ascii="Times New Roman" w:eastAsia="Times New Roman" w:hAnsi="Times New Roman" w:cs="Times New Roman"/>
                <w:sz w:val="24"/>
                <w:szCs w:val="24"/>
              </w:rPr>
            </w:pPr>
            <w:r>
              <w:rPr>
                <w:rFonts w:ascii="Times New Roman" w:hAnsi="Times New Roman"/>
                <w:b/>
              </w:rPr>
              <w:t>Свинина, яловичина, курятина</w:t>
            </w:r>
          </w:p>
        </w:tc>
      </w:tr>
      <w:tr w:rsidR="004F219A" w:rsidTr="00025E62">
        <w:trPr>
          <w:trHeight w:val="170"/>
          <w:jc w:val="center"/>
        </w:trPr>
        <w:tc>
          <w:tcPr>
            <w:tcW w:w="567" w:type="dxa"/>
            <w:shd w:val="clear" w:color="auto" w:fill="auto"/>
          </w:tcPr>
          <w:p w:rsidR="004F219A" w:rsidRDefault="004F21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4F219A" w:rsidRDefault="004F21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4F219A" w:rsidRDefault="004F219A" w:rsidP="004F219A">
            <w:pPr>
              <w:widowControl w:val="0"/>
              <w:spacing w:after="0" w:line="240" w:lineRule="auto"/>
              <w:ind w:hanging="2"/>
              <w:jc w:val="both"/>
              <w:rPr>
                <w:rFonts w:ascii="Times New Roman" w:eastAsia="Times New Roman" w:hAnsi="Times New Roman" w:cs="Times New Roman"/>
                <w:sz w:val="24"/>
                <w:szCs w:val="24"/>
              </w:rPr>
            </w:pPr>
            <w:r w:rsidRPr="00091E2C">
              <w:rPr>
                <w:rFonts w:ascii="Times New Roman" w:hAnsi="Times New Roman"/>
                <w:b/>
              </w:rPr>
              <w:t>код ДК 021:2015-15110000-2 М’ясо</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B5EAF"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w:t>
            </w:r>
            <w:r w:rsidR="00EB5EAF" w:rsidRPr="003F02BA">
              <w:rPr>
                <w:rFonts w:ascii="Times New Roman" w:hAnsi="Times New Roman" w:cs="Times New Roman"/>
                <w:szCs w:val="28"/>
              </w:rPr>
              <w:t>Полтавсь</w:t>
            </w:r>
            <w:r w:rsidRPr="003F02BA">
              <w:rPr>
                <w:rFonts w:ascii="Times New Roman" w:hAnsi="Times New Roman" w:cs="Times New Roman"/>
                <w:szCs w:val="28"/>
              </w:rPr>
              <w:t xml:space="preserve">кий район, </w:t>
            </w:r>
            <w:r w:rsidR="00EB5EAF">
              <w:rPr>
                <w:rFonts w:ascii="Times New Roman" w:hAnsi="Times New Roman" w:cs="Times New Roman"/>
                <w:szCs w:val="28"/>
              </w:rPr>
              <w:t xml:space="preserve"> </w:t>
            </w:r>
          </w:p>
          <w:p w:rsidR="00AF1E44" w:rsidRPr="006C7E77"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4F219A" w:rsidRDefault="004F219A" w:rsidP="004F219A">
            <w:pPr>
              <w:widowControl w:val="0"/>
              <w:spacing w:after="0" w:line="240" w:lineRule="auto"/>
              <w:ind w:hanging="2"/>
              <w:jc w:val="both"/>
              <w:rPr>
                <w:rFonts w:ascii="Times New Roman" w:hAnsi="Times New Roman"/>
                <w:b/>
              </w:rPr>
            </w:pPr>
            <w:r>
              <w:rPr>
                <w:rFonts w:ascii="Times New Roman" w:hAnsi="Times New Roman"/>
                <w:b/>
              </w:rPr>
              <w:t>Свинина – 3 000 кг;</w:t>
            </w:r>
          </w:p>
          <w:p w:rsidR="004F219A" w:rsidRDefault="004F219A" w:rsidP="004F219A">
            <w:pPr>
              <w:pStyle w:val="a8"/>
              <w:spacing w:after="0"/>
              <w:rPr>
                <w:rFonts w:ascii="Times New Roman" w:hAnsi="Times New Roman"/>
                <w:b/>
              </w:rPr>
            </w:pPr>
            <w:r>
              <w:rPr>
                <w:rFonts w:ascii="Times New Roman" w:hAnsi="Times New Roman"/>
                <w:b/>
              </w:rPr>
              <w:t>Яловичина – 1 200 кг;</w:t>
            </w:r>
          </w:p>
          <w:p w:rsidR="00AF44AC" w:rsidRPr="004F219A" w:rsidRDefault="004F219A" w:rsidP="004F219A">
            <w:pPr>
              <w:pStyle w:val="a8"/>
              <w:spacing w:after="0"/>
              <w:rPr>
                <w:rFonts w:ascii="Times New Roman" w:hAnsi="Times New Roman"/>
                <w:b/>
              </w:rPr>
            </w:pPr>
            <w:r>
              <w:rPr>
                <w:rFonts w:ascii="Times New Roman" w:hAnsi="Times New Roman"/>
                <w:b/>
              </w:rPr>
              <w:t>Курятина – 1 500кг.</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F63E7B" w:rsidRPr="00097F39" w:rsidRDefault="004F219A" w:rsidP="004F219A">
            <w:pPr>
              <w:widowControl w:val="0"/>
              <w:spacing w:after="0" w:line="240" w:lineRule="auto"/>
              <w:ind w:hanging="2"/>
              <w:jc w:val="both"/>
              <w:rPr>
                <w:rFonts w:ascii="Times New Roman" w:eastAsia="Times New Roman" w:hAnsi="Times New Roman" w:cs="Times New Roman"/>
                <w:sz w:val="24"/>
                <w:szCs w:val="24"/>
              </w:rPr>
            </w:pPr>
            <w:r w:rsidRPr="001F5806">
              <w:rPr>
                <w:rFonts w:ascii="Times New Roman" w:hAnsi="Times New Roman" w:cs="Times New Roman"/>
                <w:b/>
                <w:szCs w:val="28"/>
              </w:rPr>
              <w:t xml:space="preserve">Поставка товару здійснюється </w:t>
            </w:r>
            <w:r>
              <w:rPr>
                <w:rFonts w:ascii="Times New Roman" w:hAnsi="Times New Roman" w:cs="Times New Roman"/>
                <w:b/>
                <w:szCs w:val="28"/>
              </w:rPr>
              <w:t>продавцем протягом 2023</w:t>
            </w:r>
            <w:r w:rsidRPr="001F5806">
              <w:rPr>
                <w:rFonts w:ascii="Times New Roman" w:hAnsi="Times New Roman" w:cs="Times New Roman"/>
                <w:b/>
                <w:szCs w:val="28"/>
              </w:rPr>
              <w:t xml:space="preserve"> року,</w:t>
            </w:r>
            <w:r w:rsidRPr="001F5806">
              <w:rPr>
                <w:rFonts w:ascii="Times New Roman" w:hAnsi="Times New Roman" w:cs="Times New Roman"/>
                <w:b/>
                <w:color w:val="FF0000"/>
                <w:szCs w:val="28"/>
              </w:rPr>
              <w:t xml:space="preserve"> </w:t>
            </w:r>
            <w:r w:rsidRPr="001F5806">
              <w:rPr>
                <w:rFonts w:ascii="Times New Roman" w:hAnsi="Times New Roman" w:cs="Times New Roman"/>
                <w:b/>
                <w:szCs w:val="28"/>
              </w:rPr>
              <w:t xml:space="preserve">згідно графіків замовлень. На протязі </w:t>
            </w:r>
            <w:r>
              <w:rPr>
                <w:rFonts w:ascii="Times New Roman" w:hAnsi="Times New Roman" w:cs="Times New Roman"/>
                <w:b/>
                <w:szCs w:val="28"/>
              </w:rPr>
              <w:t>п’яти</w:t>
            </w:r>
            <w:r w:rsidRPr="001F5806">
              <w:rPr>
                <w:rFonts w:ascii="Times New Roman" w:hAnsi="Times New Roman" w:cs="Times New Roman"/>
                <w:b/>
                <w:szCs w:val="28"/>
              </w:rPr>
              <w:t xml:space="preserve"> д</w:t>
            </w:r>
            <w:r>
              <w:rPr>
                <w:rFonts w:ascii="Times New Roman" w:hAnsi="Times New Roman" w:cs="Times New Roman"/>
                <w:b/>
                <w:szCs w:val="28"/>
              </w:rPr>
              <w:t>іб</w:t>
            </w:r>
            <w:r w:rsidRPr="001F5806">
              <w:rPr>
                <w:rFonts w:ascii="Times New Roman" w:hAnsi="Times New Roman" w:cs="Times New Roman"/>
                <w:b/>
                <w:szCs w:val="28"/>
              </w:rPr>
              <w:t xml:space="preserve"> з моменту отримання заявки від Замовника (заявка робиться за дві доби до постачання)</w:t>
            </w:r>
            <w:r w:rsidRPr="001F5806">
              <w:rPr>
                <w:rFonts w:ascii="Times New Roman" w:hAnsi="Times New Roman" w:cs="Times New Roman"/>
                <w:b/>
                <w:szCs w:val="28"/>
                <w:lang w:val="ru-RU"/>
              </w:rPr>
              <w:t>.</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згідно з формою, що передбачена у Додатку 5 до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w:t>
            </w:r>
            <w:r w:rsidRPr="00AC2592">
              <w:rPr>
                <w:rFonts w:ascii="Times New Roman" w:eastAsia="Times New Roman" w:hAnsi="Times New Roman" w:cs="Times New Roman"/>
                <w:sz w:val="24"/>
                <w:szCs w:val="24"/>
                <w:lang w:eastAsia="ru-RU"/>
              </w:rPr>
              <w:lastRenderedPageBreak/>
              <w:t xml:space="preserve">відповідність учасника кваліфікаційним вимогам 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Pr>
                <w:rFonts w:ascii="Times New Roman" w:eastAsia="Times New Roman" w:hAnsi="Times New Roman" w:cs="Times New Roman"/>
                <w:color w:val="000000"/>
                <w:sz w:val="24"/>
                <w:szCs w:val="24"/>
              </w:rPr>
              <w:t xml:space="preserve">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F67975">
              <w:rPr>
                <w:rFonts w:ascii="Times New Roman" w:eastAsia="Times New Roman" w:hAnsi="Times New Roman"/>
                <w:sz w:val="24"/>
                <w:szCs w:val="24"/>
                <w:lang w:eastAsia="ru-RU"/>
              </w:rPr>
              <w:lastRenderedPageBreak/>
              <w:t xml:space="preserve">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w:t>
            </w:r>
            <w:r>
              <w:rPr>
                <w:rFonts w:ascii="Times New Roman" w:eastAsia="Times New Roman" w:hAnsi="Times New Roman" w:cs="Times New Roman"/>
                <w:sz w:val="24"/>
                <w:szCs w:val="24"/>
              </w:rPr>
              <w:lastRenderedPageBreak/>
              <w:t>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w:t>
            </w:r>
            <w:r>
              <w:rPr>
                <w:rFonts w:ascii="Times New Roman" w:eastAsia="Times New Roman" w:hAnsi="Times New Roman" w:cs="Times New Roman"/>
                <w:sz w:val="24"/>
                <w:szCs w:val="24"/>
              </w:rPr>
              <w:lastRenderedPageBreak/>
              <w:t xml:space="preserve">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9" w:name="n114"/>
            <w:bookmarkEnd w:id="9"/>
            <w:r w:rsidRPr="00184C6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xml:space="preserve"> “Про доступ до публічної інформації” та/або </w:t>
            </w:r>
            <w:r w:rsidRPr="0021111E">
              <w:rPr>
                <w:rFonts w:ascii="Times New Roman" w:hAnsi="Times New Roman" w:cs="Times New Roman"/>
                <w:sz w:val="24"/>
                <w:szCs w:val="24"/>
                <w:shd w:val="clear" w:color="auto" w:fill="FFFFFF"/>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w:t>
            </w:r>
            <w:r>
              <w:rPr>
                <w:rFonts w:ascii="Times New Roman" w:eastAsia="Times New Roman" w:hAnsi="Times New Roman" w:cs="Times New Roman"/>
                <w:b/>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w:t>
            </w:r>
            <w:r>
              <w:rPr>
                <w:rFonts w:ascii="Times New Roman" w:eastAsia="Times New Roman" w:hAnsi="Times New Roman" w:cs="Times New Roman"/>
                <w:sz w:val="24"/>
                <w:szCs w:val="24"/>
              </w:rPr>
              <w:lastRenderedPageBreak/>
              <w:t xml:space="preserve">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D73323" w:rsidRDefault="00D73323" w:rsidP="00584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584E1A">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584E1A">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4301E2">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584E1A">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w:t>
                  </w:r>
                  <w:r>
                    <w:rPr>
                      <w:rFonts w:ascii="Times New Roman" w:eastAsia="Times New Roman" w:hAnsi="Times New Roman" w:cs="Times New Roman"/>
                      <w:color w:val="000000"/>
                      <w:sz w:val="24"/>
                      <w:szCs w:val="24"/>
                    </w:rPr>
                    <w:lastRenderedPageBreak/>
                    <w:t xml:space="preserve">системою закупівель після закінчення строку подання, не приймаються та автоматично повертаються учасникам, які їх подали. </w:t>
                  </w:r>
                </w:p>
              </w:tc>
            </w:tr>
            <w:tr w:rsidR="002D4BDE" w:rsidTr="00584E1A">
              <w:trPr>
                <w:trHeight w:val="70"/>
              </w:trPr>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p>
              </w:tc>
            </w:tr>
          </w:tbl>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584E1A">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584E1A">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584E1A">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584E1A">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Pr>
                <w:rFonts w:ascii="Times New Roman" w:eastAsia="Times New Roman" w:hAnsi="Times New Roman" w:cs="Times New Roman"/>
                <w:sz w:val="24"/>
                <w:szCs w:val="24"/>
              </w:rPr>
              <w:lastRenderedPageBreak/>
              <w:t>законодавством, та мають бути включені таким 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584E1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584E1A">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584E1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584E1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584E1A">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rPr>
              <w:lastRenderedPageBreak/>
              <w:t>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4BDE" w:rsidRPr="00A57464"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2D4BDE" w:rsidRPr="00A57464" w:rsidRDefault="002D4BDE" w:rsidP="00584E1A">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D03E3F">
              <w:rPr>
                <w:rFonts w:ascii="Times New Roman" w:eastAsia="Times New Roman" w:hAnsi="Times New Roman"/>
                <w:sz w:val="24"/>
                <w:szCs w:val="24"/>
                <w:lang w:eastAsia="ru-RU"/>
              </w:rPr>
              <w:lastRenderedPageBreak/>
              <w:t>виконанням рішення органу оскарження.</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584E1A">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D6C65">
              <w:rPr>
                <w:rFonts w:ascii="Times New Roman" w:hAnsi="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584E1A">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584E1A">
            <w:pPr>
              <w:spacing w:after="0" w:line="240" w:lineRule="auto"/>
              <w:ind w:left="360"/>
              <w:jc w:val="both"/>
              <w:rPr>
                <w:rFonts w:ascii="Times New Roman" w:hAnsi="Times New Roman"/>
                <w:sz w:val="24"/>
                <w:szCs w:val="24"/>
              </w:rPr>
            </w:pPr>
          </w:p>
          <w:p w:rsidR="002D4BDE" w:rsidRPr="00BD6C65" w:rsidRDefault="002D4BDE" w:rsidP="00584E1A">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584E1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584E1A">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584E1A">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584E1A">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lastRenderedPageBreak/>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584E1A">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584E1A">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w:t>
            </w:r>
            <w:r w:rsidRPr="00BD5BF5">
              <w:rPr>
                <w:rFonts w:ascii="Times New Roman" w:hAnsi="Times New Roman" w:cs="Times New Roman"/>
                <w:color w:val="000000"/>
                <w:sz w:val="24"/>
                <w:szCs w:val="24"/>
              </w:rPr>
              <w:lastRenderedPageBreak/>
              <w:t xml:space="preserve">в бік зменшення (без зміни кількості (обсягу) та якості товарів, робіт і послуг);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584E1A">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584E1A">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14228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4F219A" w:rsidRPr="00100A8E" w:rsidRDefault="004F219A" w:rsidP="004F219A">
      <w:pPr>
        <w:rPr>
          <w:b/>
          <w:sz w:val="24"/>
          <w:szCs w:val="24"/>
          <w:highlight w:val="yellow"/>
        </w:rPr>
      </w:pPr>
      <w:r w:rsidRPr="009117DC">
        <w:rPr>
          <w:rFonts w:ascii="Times New Roman" w:hAnsi="Times New Roman" w:cs="Times New Roman"/>
          <w:sz w:val="24"/>
          <w:szCs w:val="24"/>
        </w:rPr>
        <w:t>на предмет закупівлі</w:t>
      </w:r>
      <w:r w:rsidRPr="009117DC">
        <w:rPr>
          <w:rFonts w:ascii="Times New Roman" w:hAnsi="Times New Roman" w:cs="Times New Roman"/>
          <w:b/>
          <w:sz w:val="24"/>
          <w:szCs w:val="24"/>
        </w:rPr>
        <w:t>:</w:t>
      </w:r>
      <w:r>
        <w:rPr>
          <w:rFonts w:ascii="Times New Roman" w:hAnsi="Times New Roman" w:cs="Times New Roman"/>
          <w:b/>
          <w:sz w:val="24"/>
          <w:szCs w:val="24"/>
        </w:rPr>
        <w:t xml:space="preserve">  </w:t>
      </w:r>
      <w:r w:rsidRPr="009117DC">
        <w:rPr>
          <w:rFonts w:ascii="Times New Roman" w:hAnsi="Times New Roman" w:cs="Times New Roman"/>
          <w:b/>
          <w:sz w:val="24"/>
          <w:szCs w:val="24"/>
        </w:rPr>
        <w:t>код ДК 021:2015-15110000-2 М’ясо</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276"/>
        <w:gridCol w:w="4110"/>
      </w:tblGrid>
      <w:tr w:rsidR="004F219A" w:rsidRPr="00100A8E" w:rsidTr="004F219A">
        <w:trPr>
          <w:trHeight w:val="1261"/>
        </w:trPr>
        <w:tc>
          <w:tcPr>
            <w:tcW w:w="588"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w:t>
            </w:r>
          </w:p>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п/п</w:t>
            </w:r>
          </w:p>
          <w:p w:rsidR="004F219A" w:rsidRPr="00047431" w:rsidRDefault="004F219A" w:rsidP="004F219A">
            <w:pPr>
              <w:pStyle w:val="a8"/>
              <w:jc w:val="center"/>
              <w:rPr>
                <w:rFonts w:ascii="Times New Roman" w:hAnsi="Times New Roman" w:cs="Times New Roman"/>
                <w:sz w:val="20"/>
                <w:szCs w:val="20"/>
              </w:rPr>
            </w:pPr>
          </w:p>
        </w:tc>
        <w:tc>
          <w:tcPr>
            <w:tcW w:w="2639"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Найменування</w:t>
            </w:r>
          </w:p>
          <w:p w:rsidR="004F219A" w:rsidRPr="00047431" w:rsidRDefault="004F219A" w:rsidP="004F219A">
            <w:pPr>
              <w:pStyle w:val="a8"/>
              <w:jc w:val="center"/>
              <w:rPr>
                <w:rFonts w:ascii="Times New Roman" w:hAnsi="Times New Roman" w:cs="Times New Roman"/>
                <w:sz w:val="20"/>
                <w:szCs w:val="20"/>
                <w:highlight w:val="yellow"/>
              </w:rPr>
            </w:pPr>
          </w:p>
        </w:tc>
        <w:tc>
          <w:tcPr>
            <w:tcW w:w="1276" w:type="dxa"/>
          </w:tcPr>
          <w:p w:rsidR="004F219A" w:rsidRPr="00047431" w:rsidRDefault="004F219A" w:rsidP="004F219A">
            <w:pPr>
              <w:pStyle w:val="a8"/>
              <w:jc w:val="center"/>
              <w:rPr>
                <w:rFonts w:ascii="Times New Roman" w:hAnsi="Times New Roman" w:cs="Times New Roman"/>
                <w:sz w:val="20"/>
                <w:szCs w:val="20"/>
                <w:highlight w:val="yellow"/>
              </w:rPr>
            </w:pPr>
            <w:r w:rsidRPr="00047431">
              <w:rPr>
                <w:rFonts w:ascii="Times New Roman" w:hAnsi="Times New Roman" w:cs="Times New Roman"/>
                <w:sz w:val="20"/>
                <w:szCs w:val="20"/>
              </w:rPr>
              <w:t>Одиниця виміру</w:t>
            </w:r>
          </w:p>
        </w:tc>
        <w:tc>
          <w:tcPr>
            <w:tcW w:w="1276"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Кількість</w:t>
            </w:r>
          </w:p>
          <w:p w:rsidR="004F219A" w:rsidRPr="00047431" w:rsidRDefault="004F219A" w:rsidP="004F219A">
            <w:pPr>
              <w:pStyle w:val="a8"/>
              <w:jc w:val="center"/>
              <w:rPr>
                <w:rFonts w:ascii="Times New Roman" w:hAnsi="Times New Roman" w:cs="Times New Roman"/>
                <w:sz w:val="20"/>
                <w:szCs w:val="20"/>
                <w:highlight w:val="yellow"/>
              </w:rPr>
            </w:pPr>
          </w:p>
        </w:tc>
        <w:tc>
          <w:tcPr>
            <w:tcW w:w="4110"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Опис</w:t>
            </w:r>
          </w:p>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товару</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Pr="00385BEF" w:rsidRDefault="004F219A" w:rsidP="004F219A">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1.</w:t>
            </w:r>
          </w:p>
        </w:tc>
        <w:tc>
          <w:tcPr>
            <w:tcW w:w="2639" w:type="dxa"/>
            <w:vAlign w:val="center"/>
          </w:tcPr>
          <w:p w:rsidR="004F219A" w:rsidRPr="00385BEF" w:rsidRDefault="004F219A" w:rsidP="004F219A">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Свинина (ІІ категорія) без шкіри, обрізна, охолоджена, у чверть тушах (зокрема пересипана сіллю для тимчасового зберігання).</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1. Вік худоби до забою – 1-1,5роки;</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2.Товарна фасовка  - чверть туші;</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3. Свинина свіжа, охолоджена, не більше доби від забою;</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4.Температура охолодженого м’яса  від 0 – 4 ˚С;</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5.Вміст кісток не більше 16,6%.</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6. Колір м’яса - блідо-рожевий;</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7. Смак і запах характерний для доброякісного м’яса без сторонніх смаків і запахів</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8. Консистенція – ніжна, м’яка.</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9. Не повинно бути залишків шкури, згустків крові, забруднень,</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10. У місцях відділеного сала на туші дозволяється залишок сала товщиною не більше 0,5 см.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11.Упаковка – ящики дерев’яні або пластикові, всередині вислані пергаментом або поліетиленовою плівкою.</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Pr="007A5395" w:rsidRDefault="004F219A" w:rsidP="004F219A">
            <w:pPr>
              <w:pStyle w:val="a8"/>
              <w:rPr>
                <w:rFonts w:ascii="Times New Roman" w:hAnsi="Times New Roman" w:cs="Times New Roman"/>
                <w:sz w:val="4"/>
                <w:szCs w:val="20"/>
              </w:rPr>
            </w:pPr>
          </w:p>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2.</w:t>
            </w:r>
          </w:p>
        </w:tc>
        <w:tc>
          <w:tcPr>
            <w:tcW w:w="2639" w:type="dxa"/>
            <w:vAlign w:val="center"/>
          </w:tcPr>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Тушки курей мають бути добре знекровлені, чисті,  без сторонніх запахів, без забруднень, без видимих кров’яних згустків, без залишків пера, пуху, пеньків і колосовидного пір’я, подряпин, розривів, плям, синців, залишків кишковика і клоака, трахеї, стравоходу, зрілих репродуктивних органів і легенів. Без холодильних опіків, плям, знебарвлених розлитою жовчю. Добре </w:t>
            </w:r>
            <w:r w:rsidRPr="00047431">
              <w:rPr>
                <w:rFonts w:ascii="Times New Roman" w:hAnsi="Times New Roman" w:cs="Times New Roman"/>
                <w:sz w:val="20"/>
                <w:szCs w:val="20"/>
              </w:rPr>
              <w:lastRenderedPageBreak/>
              <w:t>вимитими зі сторони  внутрішньої порожнини та зовні. Колір шкіри білувато-жовтий або блідо-жовтий, місцями з рожевим відтінком. Поверхня шкіри повинна бути сухою. Підшкірний жир білий, злегка жовтуватий або жовтий, без стороннього запаху. Поверхня м’язової тканини злегка волога, але не липка. Запах характерний для даного виду птиці.</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Упаковка – ящики дерев’яні або пластикові, всередині вислані пергаментом або поліетиленовою плівкою.</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3.</w:t>
            </w:r>
          </w:p>
        </w:tc>
        <w:tc>
          <w:tcPr>
            <w:tcW w:w="2639" w:type="dxa"/>
            <w:vAlign w:val="center"/>
          </w:tcPr>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p w:rsidR="004F219A" w:rsidRPr="00047431" w:rsidRDefault="004F219A" w:rsidP="004F219A">
            <w:pPr>
              <w:pStyle w:val="a8"/>
              <w:rPr>
                <w:rFonts w:ascii="Times New Roman" w:hAnsi="Times New Roman" w:cs="Times New Roman"/>
                <w:sz w:val="20"/>
                <w:szCs w:val="20"/>
              </w:rPr>
            </w:pP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Товарна фасовка -  30 кг;</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Напівфабрикати  -Свіжі, охолоджені не більше двох діб від забою.</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Колір від – світло – червоного до червоного.</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Запах характерний для доброякісного м’яса без сторонніх запахів.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Консистенція – ніжна, м’яка.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За термічним станом напівфабрикати — охолоджені (піддані охолоджуванню до температури від 0 ºС до 4 ºС);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Споживче пакування (матеріал): пакети з полімерної плівки</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Транспортне пакування: картонні ящики.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Тара повинна бути чиста, суха, без плісняви і стороннього запаху.</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У кожну одиницю транспортної тари пакують напівфабрикати однієї назви та сорту.</w:t>
            </w:r>
          </w:p>
        </w:tc>
      </w:tr>
    </w:tbl>
    <w:p w:rsidR="004F219A" w:rsidRDefault="004F219A" w:rsidP="004F219A">
      <w:pPr>
        <w:pStyle w:val="ng-binding"/>
        <w:spacing w:before="0" w:beforeAutospacing="0" w:after="0" w:afterAutospacing="0"/>
        <w:jc w:val="both"/>
        <w:rPr>
          <w:b/>
          <w:lang w:val="uk-UA"/>
        </w:rPr>
      </w:pPr>
      <w:r>
        <w:rPr>
          <w:b/>
          <w:lang w:val="uk-UA"/>
        </w:rPr>
        <w:t xml:space="preserve">      </w:t>
      </w:r>
    </w:p>
    <w:p w:rsidR="004F219A" w:rsidRPr="00A8658D" w:rsidRDefault="004F219A" w:rsidP="004F219A">
      <w:pPr>
        <w:jc w:val="both"/>
        <w:rPr>
          <w:rFonts w:ascii="Times New Roman" w:eastAsia="Lucida Sans Unicode" w:hAnsi="Times New Roman" w:cs="Times New Roman"/>
          <w:sz w:val="24"/>
          <w:szCs w:val="24"/>
        </w:rPr>
      </w:pPr>
      <w:r w:rsidRPr="009117DC">
        <w:rPr>
          <w:rFonts w:ascii="Times New Roman" w:hAnsi="Times New Roman" w:cs="Times New Roman"/>
          <w:b/>
          <w:sz w:val="24"/>
          <w:szCs w:val="24"/>
        </w:rPr>
        <w:t xml:space="preserve"> </w:t>
      </w: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4F219A" w:rsidRDefault="004F219A" w:rsidP="004F219A">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4F219A" w:rsidRDefault="004F219A" w:rsidP="004F219A">
      <w:pPr>
        <w:suppressAutoHyphens/>
        <w:spacing w:after="0" w:line="240" w:lineRule="auto"/>
        <w:ind w:firstLine="708"/>
        <w:jc w:val="both"/>
        <w:rPr>
          <w:rFonts w:ascii="Times New Roman" w:hAnsi="Times New Roman" w:cs="Times New Roman"/>
          <w:b/>
          <w:sz w:val="24"/>
          <w:szCs w:val="24"/>
          <w:lang w:eastAsia="ar-SA"/>
        </w:rPr>
      </w:pPr>
    </w:p>
    <w:p w:rsidR="004F219A" w:rsidRPr="00A8658D" w:rsidRDefault="004F219A" w:rsidP="004F219A">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4F219A" w:rsidRPr="00A8658D" w:rsidRDefault="004F219A" w:rsidP="004F219A">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4F219A" w:rsidRPr="00A8658D" w:rsidRDefault="004F219A" w:rsidP="004F219A">
      <w:pPr>
        <w:tabs>
          <w:tab w:val="left" w:pos="993"/>
        </w:tabs>
        <w:spacing w:after="160" w:line="100" w:lineRule="atLeast"/>
        <w:ind w:firstLine="709"/>
        <w:contextualSpacing/>
        <w:jc w:val="both"/>
        <w:rPr>
          <w:rFonts w:ascii="Times New Roman" w:hAnsi="Times New Roman" w:cs="Times New Roman"/>
          <w:color w:val="FF0000"/>
          <w:sz w:val="24"/>
          <w:szCs w:val="24"/>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Pr="00A8658D" w:rsidRDefault="004F219A" w:rsidP="004F219A">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lastRenderedPageBreak/>
        <w:t>Додаткова інформація:</w:t>
      </w:r>
      <w:r w:rsidRPr="00A8658D">
        <w:rPr>
          <w:rFonts w:ascii="Times New Roman" w:hAnsi="Times New Roman" w:cs="Times New Roman"/>
          <w:sz w:val="24"/>
          <w:szCs w:val="24"/>
          <w:lang w:val="ru-RU" w:eastAsia="ar-SA"/>
        </w:rPr>
        <w:t xml:space="preserve">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від установлених відповідної документацією для кожного окремого виду товару .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4F219A"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584E1A">
        <w:tc>
          <w:tcPr>
            <w:tcW w:w="413"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584E1A">
        <w:trPr>
          <w:trHeight w:val="9421"/>
        </w:trPr>
        <w:tc>
          <w:tcPr>
            <w:tcW w:w="413" w:type="dxa"/>
            <w:shd w:val="clear" w:color="auto" w:fill="auto"/>
          </w:tcPr>
          <w:p w:rsidR="002D4BDE" w:rsidRPr="000A74B5" w:rsidRDefault="002D4BDE"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584E1A">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584E1A">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4F219A" w:rsidRPr="004F219A">
        <w:rPr>
          <w:rFonts w:ascii="Times New Roman" w:hAnsi="Times New Roman"/>
          <w:b/>
          <w:sz w:val="24"/>
          <w:szCs w:val="24"/>
        </w:rPr>
        <w:t>15110000-2 М’ясо</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42622A">
        <w:rPr>
          <w:rFonts w:ascii="Times New Roman" w:eastAsia="Times New Roman" w:hAnsi="Times New Roman" w:cs="Times New Roman"/>
          <w:sz w:val="24"/>
          <w:szCs w:val="24"/>
          <w:lang w:eastAsia="ru-RU"/>
        </w:rPr>
        <w:t>9</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r w:rsidRPr="00317640">
        <w:rPr>
          <w:rFonts w:ascii="Times New Roman" w:hAnsi="Times New Roman" w:cs="Times New Roman"/>
          <w:b/>
        </w:rPr>
        <w:t>15110000-2 М’ясо</w:t>
      </w:r>
      <w:r w:rsidRPr="00317640">
        <w:rPr>
          <w:rFonts w:ascii="Times New Roman" w:eastAsia="Times New Roman" w:hAnsi="Times New Roman" w:cs="Times New Roman"/>
          <w:b/>
          <w:lang w:eastAsia="ru-RU"/>
        </w:rPr>
        <w:t xml:space="preserve"> (</w:t>
      </w:r>
      <w:r w:rsidRPr="00317640">
        <w:rPr>
          <w:rFonts w:ascii="Times New Roman" w:hAnsi="Times New Roman" w:cs="Times New Roman"/>
          <w:b/>
        </w:rPr>
        <w:t>Свинина, яловичина, курятина</w:t>
      </w:r>
      <w:r w:rsidRPr="00317640">
        <w:rPr>
          <w:rFonts w:ascii="Times New Roman" w:eastAsia="Times New Roman" w:hAnsi="Times New Roman" w:cs="Times New Roman"/>
          <w:b/>
          <w:lang w:eastAsia="ru-RU"/>
        </w:rPr>
        <w:t>)</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2551"/>
        <w:gridCol w:w="1134"/>
        <w:gridCol w:w="1154"/>
        <w:gridCol w:w="1418"/>
        <w:gridCol w:w="1417"/>
      </w:tblGrid>
      <w:tr w:rsidR="00317640" w:rsidRPr="002931ED" w:rsidTr="00317640">
        <w:trPr>
          <w:trHeight w:val="935"/>
        </w:trPr>
        <w:tc>
          <w:tcPr>
            <w:tcW w:w="1985"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5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8"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17640" w:rsidRPr="002931ED" w:rsidTr="00317640">
        <w:tc>
          <w:tcPr>
            <w:tcW w:w="1985" w:type="dxa"/>
            <w:vAlign w:val="center"/>
          </w:tcPr>
          <w:p w:rsidR="00317640" w:rsidRPr="00385BEF" w:rsidRDefault="00317640" w:rsidP="004C77C1">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4C77C1">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1985" w:type="dxa"/>
            <w:vAlign w:val="center"/>
          </w:tcPr>
          <w:p w:rsidR="00317640" w:rsidRPr="00385BEF" w:rsidRDefault="00317640" w:rsidP="004C77C1">
            <w:pPr>
              <w:pStyle w:val="a8"/>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317640">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1985" w:type="dxa"/>
            <w:vAlign w:val="center"/>
          </w:tcPr>
          <w:p w:rsidR="00317640" w:rsidRPr="0011143B" w:rsidRDefault="00317640" w:rsidP="004C77C1">
            <w:pPr>
              <w:pStyle w:val="a8"/>
              <w:rPr>
                <w:rFonts w:ascii="Times New Roman" w:hAnsi="Times New Roman" w:cs="Times New Roman"/>
                <w:b/>
                <w:sz w:val="20"/>
                <w:szCs w:val="20"/>
              </w:rPr>
            </w:pPr>
            <w:r w:rsidRPr="0011143B">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317640">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584E1A">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66" w:rsidRDefault="00C55E66">
      <w:pPr>
        <w:spacing w:after="0" w:line="240" w:lineRule="auto"/>
      </w:pPr>
      <w:r>
        <w:separator/>
      </w:r>
    </w:p>
  </w:endnote>
  <w:endnote w:type="continuationSeparator" w:id="0">
    <w:p w:rsidR="00C55E66" w:rsidRDefault="00C5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66" w:rsidRDefault="00C55E66">
      <w:pPr>
        <w:spacing w:after="0" w:line="240" w:lineRule="auto"/>
      </w:pPr>
      <w:r>
        <w:separator/>
      </w:r>
    </w:p>
  </w:footnote>
  <w:footnote w:type="continuationSeparator" w:id="0">
    <w:p w:rsidR="00C55E66" w:rsidRDefault="00C55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C1" w:rsidRDefault="00F62E45">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C77C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301E2">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7F39"/>
    <w:rsid w:val="000A24AB"/>
    <w:rsid w:val="000A3C64"/>
    <w:rsid w:val="000B0BAD"/>
    <w:rsid w:val="000B4604"/>
    <w:rsid w:val="000B790F"/>
    <w:rsid w:val="000E3C2F"/>
    <w:rsid w:val="000F143A"/>
    <w:rsid w:val="001052BD"/>
    <w:rsid w:val="001066D7"/>
    <w:rsid w:val="00107E67"/>
    <w:rsid w:val="00121C95"/>
    <w:rsid w:val="00136D93"/>
    <w:rsid w:val="001376CB"/>
    <w:rsid w:val="00142281"/>
    <w:rsid w:val="00152C22"/>
    <w:rsid w:val="0015632C"/>
    <w:rsid w:val="00177F75"/>
    <w:rsid w:val="0018226D"/>
    <w:rsid w:val="001A2C81"/>
    <w:rsid w:val="001C787E"/>
    <w:rsid w:val="001E1802"/>
    <w:rsid w:val="001E6214"/>
    <w:rsid w:val="00207435"/>
    <w:rsid w:val="002469A0"/>
    <w:rsid w:val="00247476"/>
    <w:rsid w:val="00247C1B"/>
    <w:rsid w:val="00253709"/>
    <w:rsid w:val="00262D44"/>
    <w:rsid w:val="002931ED"/>
    <w:rsid w:val="002B0FFE"/>
    <w:rsid w:val="002B1CF0"/>
    <w:rsid w:val="002B5C23"/>
    <w:rsid w:val="002D4BDE"/>
    <w:rsid w:val="002E003A"/>
    <w:rsid w:val="002E5587"/>
    <w:rsid w:val="002F64BB"/>
    <w:rsid w:val="00307FCB"/>
    <w:rsid w:val="00317640"/>
    <w:rsid w:val="00327D9C"/>
    <w:rsid w:val="00331C73"/>
    <w:rsid w:val="003437C6"/>
    <w:rsid w:val="003452AA"/>
    <w:rsid w:val="0034700F"/>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301E2"/>
    <w:rsid w:val="00460FD2"/>
    <w:rsid w:val="004662B9"/>
    <w:rsid w:val="004677F9"/>
    <w:rsid w:val="00477434"/>
    <w:rsid w:val="00480B89"/>
    <w:rsid w:val="004A35A3"/>
    <w:rsid w:val="004A3F27"/>
    <w:rsid w:val="004C77C1"/>
    <w:rsid w:val="004D238C"/>
    <w:rsid w:val="004F168F"/>
    <w:rsid w:val="004F219A"/>
    <w:rsid w:val="00544075"/>
    <w:rsid w:val="005620BD"/>
    <w:rsid w:val="0056386A"/>
    <w:rsid w:val="00580222"/>
    <w:rsid w:val="005C1EE0"/>
    <w:rsid w:val="005F47DF"/>
    <w:rsid w:val="0061040F"/>
    <w:rsid w:val="006136F3"/>
    <w:rsid w:val="00614EF3"/>
    <w:rsid w:val="00632316"/>
    <w:rsid w:val="0063723A"/>
    <w:rsid w:val="00641749"/>
    <w:rsid w:val="00661831"/>
    <w:rsid w:val="00673647"/>
    <w:rsid w:val="00687348"/>
    <w:rsid w:val="006C7E77"/>
    <w:rsid w:val="006E49C6"/>
    <w:rsid w:val="006F5998"/>
    <w:rsid w:val="00706338"/>
    <w:rsid w:val="00712FDA"/>
    <w:rsid w:val="007271B8"/>
    <w:rsid w:val="007279CA"/>
    <w:rsid w:val="0075643D"/>
    <w:rsid w:val="00756C13"/>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C72D6"/>
    <w:rsid w:val="008D29B1"/>
    <w:rsid w:val="008E2838"/>
    <w:rsid w:val="008E5515"/>
    <w:rsid w:val="008F757A"/>
    <w:rsid w:val="00916A72"/>
    <w:rsid w:val="0091715C"/>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55E66"/>
    <w:rsid w:val="00C614A9"/>
    <w:rsid w:val="00C61DA0"/>
    <w:rsid w:val="00C67C5A"/>
    <w:rsid w:val="00C84745"/>
    <w:rsid w:val="00CB2648"/>
    <w:rsid w:val="00CB7157"/>
    <w:rsid w:val="00CD55CA"/>
    <w:rsid w:val="00CE01FE"/>
    <w:rsid w:val="00CF3A53"/>
    <w:rsid w:val="00D148B6"/>
    <w:rsid w:val="00D2266C"/>
    <w:rsid w:val="00D23474"/>
    <w:rsid w:val="00D50E79"/>
    <w:rsid w:val="00D73323"/>
    <w:rsid w:val="00D75DB3"/>
    <w:rsid w:val="00D8501E"/>
    <w:rsid w:val="00D93461"/>
    <w:rsid w:val="00DA1873"/>
    <w:rsid w:val="00DA319F"/>
    <w:rsid w:val="00DA3EE1"/>
    <w:rsid w:val="00DD79E2"/>
    <w:rsid w:val="00E149E3"/>
    <w:rsid w:val="00E15186"/>
    <w:rsid w:val="00E202E2"/>
    <w:rsid w:val="00E241C9"/>
    <w:rsid w:val="00E3304F"/>
    <w:rsid w:val="00E44913"/>
    <w:rsid w:val="00E44FD8"/>
    <w:rsid w:val="00E50179"/>
    <w:rsid w:val="00E75440"/>
    <w:rsid w:val="00E85794"/>
    <w:rsid w:val="00EA1FF5"/>
    <w:rsid w:val="00EB5EAF"/>
    <w:rsid w:val="00ED46F3"/>
    <w:rsid w:val="00ED5E88"/>
    <w:rsid w:val="00ED7B9F"/>
    <w:rsid w:val="00F0230B"/>
    <w:rsid w:val="00F173A0"/>
    <w:rsid w:val="00F408CB"/>
    <w:rsid w:val="00F45F0B"/>
    <w:rsid w:val="00F53F84"/>
    <w:rsid w:val="00F625D5"/>
    <w:rsid w:val="00F62E45"/>
    <w:rsid w:val="00F63E7B"/>
    <w:rsid w:val="00F82962"/>
    <w:rsid w:val="00F87B59"/>
    <w:rsid w:val="00F96FBF"/>
    <w:rsid w:val="00FA498C"/>
    <w:rsid w:val="00FB47BB"/>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C5223F-28DC-47CE-90BD-E9CDCB64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11107437</TotalTime>
  <Pages>52</Pages>
  <Words>18941</Words>
  <Characters>107967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2020-08-03T12:39:00Z</cp:lastPrinted>
  <dcterms:created xsi:type="dcterms:W3CDTF">2021-10-05T05:55:00Z</dcterms:created>
  <dcterms:modified xsi:type="dcterms:W3CDTF">2023-03-07T14:21:00Z</dcterms:modified>
</cp:coreProperties>
</file>