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ind w:left="0" w:leftChars="0" w:firstLine="0" w:firstLineChars="0"/>
        <w:jc w:val="center"/>
        <w:outlineLvl w:val="4"/>
        <w:rPr>
          <w:rFonts w:hint="default" w:ascii="Times New Roman" w:hAnsi="Times New Roman" w:eastAsia="Calibri" w:cs="Times New Roman"/>
          <w:b/>
          <w:sz w:val="24"/>
          <w:szCs w:val="24"/>
          <w:lang w:val="uk-UA" w:eastAsia="ru-RU" w:bidi="ar-SA"/>
        </w:rPr>
      </w:pPr>
      <w:r>
        <w:rPr>
          <w:rFonts w:ascii="Times New Roman" w:hAnsi="Times New Roman" w:eastAsia="Calibri" w:cs="Times New Roman"/>
          <w:b/>
          <w:sz w:val="40"/>
          <w:szCs w:val="40"/>
          <w:lang w:val="uk-UA" w:eastAsia="ru-RU" w:bidi="ar-SA"/>
        </w:rPr>
        <w:t>ВІДДІЛ</w:t>
      </w:r>
      <w:r>
        <w:rPr>
          <w:rFonts w:hint="default" w:ascii="Times New Roman" w:hAnsi="Times New Roman" w:eastAsia="Calibri" w:cs="Times New Roman"/>
          <w:b/>
          <w:sz w:val="40"/>
          <w:szCs w:val="40"/>
          <w:lang w:val="uk-UA" w:eastAsia="ru-RU" w:bidi="ar-SA"/>
        </w:rPr>
        <w:t xml:space="preserve"> ОСВІТИ ЧЕРВОНОГРАДСЬКОЇ МІСЬКОЇ РАДИ</w:t>
      </w:r>
    </w:p>
    <w:p>
      <w:pPr>
        <w:spacing w:after="0" w:line="240" w:lineRule="auto"/>
        <w:rPr>
          <w:rFonts w:ascii="Times New Roman" w:hAnsi="Times New Roman" w:eastAsia="Calibri" w:cs="Times New Roman"/>
          <w:b/>
          <w:bCs/>
          <w:sz w:val="38"/>
          <w:szCs w:val="38"/>
          <w:lang w:eastAsia="ru-RU"/>
        </w:rPr>
      </w:pPr>
    </w:p>
    <w:tbl>
      <w:tblPr>
        <w:tblStyle w:val="9"/>
        <w:tblW w:w="0" w:type="auto"/>
        <w:tblInd w:w="504" w:type="dxa"/>
        <w:tblLayout w:type="fixed"/>
        <w:tblCellMar>
          <w:top w:w="0" w:type="dxa"/>
          <w:left w:w="108" w:type="dxa"/>
          <w:bottom w:w="0" w:type="dxa"/>
          <w:right w:w="108" w:type="dxa"/>
        </w:tblCellMar>
      </w:tblPr>
      <w:tblGrid>
        <w:gridCol w:w="3931"/>
        <w:gridCol w:w="5933"/>
      </w:tblGrid>
      <w:tr>
        <w:tblPrEx>
          <w:tblCellMar>
            <w:top w:w="0" w:type="dxa"/>
            <w:left w:w="108" w:type="dxa"/>
            <w:bottom w:w="0" w:type="dxa"/>
            <w:right w:w="108" w:type="dxa"/>
          </w:tblCellMar>
        </w:tblPrEx>
        <w:tc>
          <w:tcPr>
            <w:tcW w:w="3931" w:type="dxa"/>
            <w:noWrap w:val="0"/>
            <w:vAlign w:val="top"/>
          </w:tcPr>
          <w:p>
            <w:pPr>
              <w:snapToGrid w:val="0"/>
              <w:spacing w:after="0" w:line="240" w:lineRule="auto"/>
              <w:rPr>
                <w:rFonts w:ascii="Times New Roman" w:hAnsi="Times New Roman" w:eastAsia="Calibri" w:cs="Times New Roman"/>
                <w:b/>
                <w:bCs/>
                <w:sz w:val="28"/>
                <w:szCs w:val="28"/>
                <w:lang w:eastAsia="ru-RU"/>
              </w:rPr>
            </w:pPr>
          </w:p>
        </w:tc>
        <w:tc>
          <w:tcPr>
            <w:tcW w:w="5933" w:type="dxa"/>
            <w:noWrap w:val="0"/>
            <w:vAlign w:val="top"/>
          </w:tcPr>
          <w:p>
            <w:pPr>
              <w:snapToGrid w:val="0"/>
              <w:spacing w:after="0" w:line="240" w:lineRule="auto"/>
              <w:rPr>
                <w:rFonts w:ascii="Times New Roman" w:hAnsi="Times New Roman" w:eastAsia="Calibri" w:cs="Times New Roman"/>
                <w:b/>
                <w:bCs/>
                <w:sz w:val="24"/>
                <w:szCs w:val="24"/>
                <w:lang w:val="ru-RU" w:eastAsia="ru-RU"/>
              </w:rPr>
            </w:pPr>
            <w:r>
              <w:rPr>
                <w:rFonts w:ascii="Times New Roman" w:hAnsi="Times New Roman" w:eastAsia="Calibri" w:cs="Times New Roman"/>
                <w:b/>
                <w:bCs/>
                <w:sz w:val="24"/>
                <w:szCs w:val="24"/>
                <w:lang w:eastAsia="ru-RU"/>
              </w:rPr>
              <w:t xml:space="preserve">    </w:t>
            </w:r>
            <w:r>
              <w:rPr>
                <w:rFonts w:ascii="Times New Roman" w:hAnsi="Times New Roman" w:eastAsia="Calibri" w:cs="Times New Roman"/>
                <w:b/>
                <w:bCs/>
                <w:sz w:val="24"/>
                <w:szCs w:val="24"/>
                <w:lang w:val="ru-RU" w:eastAsia="ru-RU"/>
              </w:rPr>
              <w:t>"ЗАТВЕРДЖЕНО"</w:t>
            </w:r>
          </w:p>
          <w:p>
            <w:pPr>
              <w:snapToGrid w:val="0"/>
              <w:spacing w:after="0" w:line="240" w:lineRule="auto"/>
              <w:rPr>
                <w:rFonts w:ascii="Times New Roman" w:hAnsi="Times New Roman" w:eastAsia="Calibri" w:cs="Times New Roman"/>
                <w:bCs/>
                <w:sz w:val="24"/>
                <w:szCs w:val="24"/>
                <w:lang w:eastAsia="ru-RU"/>
              </w:rPr>
            </w:pPr>
            <w:r>
              <w:rPr>
                <w:rFonts w:ascii="Times New Roman" w:hAnsi="Times New Roman" w:eastAsia="Calibri" w:cs="Times New Roman"/>
                <w:bCs/>
                <w:sz w:val="24"/>
                <w:szCs w:val="24"/>
                <w:lang w:val="ru-RU" w:eastAsia="ru-RU"/>
              </w:rPr>
              <w:t xml:space="preserve">рішенням </w:t>
            </w:r>
            <w:r>
              <w:rPr>
                <w:rFonts w:ascii="Times New Roman" w:hAnsi="Times New Roman" w:eastAsia="Calibri" w:cs="Times New Roman"/>
                <w:bCs/>
                <w:sz w:val="24"/>
                <w:szCs w:val="24"/>
                <w:lang w:eastAsia="ru-RU"/>
              </w:rPr>
              <w:t xml:space="preserve">уповноваженої особи, згідно    </w:t>
            </w:r>
          </w:p>
          <w:p>
            <w:pPr>
              <w:snapToGrid w:val="0"/>
              <w:spacing w:after="0" w:line="240" w:lineRule="auto"/>
              <w:jc w:val="both"/>
              <w:rPr>
                <w:rFonts w:ascii="Times New Roman" w:hAnsi="Times New Roman" w:eastAsia="Calibri" w:cs="Times New Roman"/>
                <w:b/>
                <w:bCs/>
                <w:sz w:val="24"/>
                <w:szCs w:val="24"/>
                <w:lang w:val="ru-RU" w:eastAsia="ru-RU"/>
              </w:rPr>
            </w:pPr>
            <w:r>
              <w:rPr>
                <w:rFonts w:ascii="Times New Roman" w:hAnsi="Times New Roman" w:eastAsia="Calibri" w:cs="Times New Roman"/>
                <w:bCs/>
                <w:sz w:val="24"/>
                <w:szCs w:val="24"/>
                <w:lang w:eastAsia="ru-RU"/>
              </w:rPr>
              <w:t>протоколу</w:t>
            </w:r>
            <w:r>
              <w:rPr>
                <w:rFonts w:ascii="Times New Roman" w:hAnsi="Times New Roman" w:eastAsia="Calibri" w:cs="Times New Roman"/>
                <w:bCs/>
                <w:sz w:val="24"/>
                <w:szCs w:val="24"/>
                <w:lang w:val="ru-RU" w:eastAsia="ru-RU"/>
              </w:rPr>
              <w:t xml:space="preserve"> від «</w:t>
            </w:r>
            <w:r>
              <w:rPr>
                <w:rFonts w:hint="default" w:ascii="Times New Roman" w:hAnsi="Times New Roman" w:eastAsia="Calibri" w:cs="Times New Roman"/>
                <w:bCs/>
                <w:sz w:val="24"/>
                <w:szCs w:val="24"/>
                <w:lang w:val="uk-UA" w:eastAsia="ru-RU"/>
              </w:rPr>
              <w:t>1</w:t>
            </w:r>
            <w:r>
              <w:rPr>
                <w:rFonts w:hint="default" w:ascii="Times New Roman" w:hAnsi="Times New Roman" w:cs="Times New Roman"/>
                <w:bCs/>
                <w:sz w:val="24"/>
                <w:szCs w:val="24"/>
                <w:lang w:val="uk-UA" w:eastAsia="ru-RU"/>
              </w:rPr>
              <w:t>4</w:t>
            </w:r>
            <w:r>
              <w:rPr>
                <w:rFonts w:ascii="Times New Roman" w:hAnsi="Times New Roman" w:eastAsia="Calibri" w:cs="Times New Roman"/>
                <w:sz w:val="24"/>
                <w:szCs w:val="24"/>
                <w:lang w:val="ru-RU" w:eastAsia="ru-RU"/>
              </w:rPr>
              <w:t xml:space="preserve">» </w:t>
            </w:r>
            <w:r>
              <w:rPr>
                <w:rFonts w:ascii="Times New Roman" w:hAnsi="Times New Roman" w:eastAsia="Calibri" w:cs="Times New Roman"/>
                <w:sz w:val="24"/>
                <w:szCs w:val="24"/>
                <w:lang w:val="uk-UA" w:eastAsia="ru-RU"/>
              </w:rPr>
              <w:t>березня</w:t>
            </w:r>
            <w:r>
              <w:rPr>
                <w:rFonts w:hint="default" w:ascii="Times New Roman" w:hAnsi="Times New Roman" w:eastAsia="Calibri" w:cs="Times New Roman"/>
                <w:sz w:val="24"/>
                <w:szCs w:val="24"/>
                <w:lang w:val="uk-UA" w:eastAsia="ru-RU"/>
              </w:rPr>
              <w:t xml:space="preserve"> 2023</w:t>
            </w:r>
            <w:r>
              <w:rPr>
                <w:rFonts w:ascii="Times New Roman" w:hAnsi="Times New Roman" w:eastAsia="Calibri" w:cs="Times New Roman"/>
                <w:sz w:val="24"/>
                <w:szCs w:val="24"/>
                <w:lang w:eastAsia="ru-RU"/>
              </w:rPr>
              <w:t xml:space="preserve"> року</w:t>
            </w:r>
          </w:p>
          <w:p>
            <w:pPr>
              <w:snapToGrid w:val="0"/>
              <w:spacing w:after="0" w:line="240" w:lineRule="auto"/>
              <w:rPr>
                <w:rFonts w:ascii="Times New Roman" w:hAnsi="Times New Roman" w:eastAsia="Calibri" w:cs="Times New Roman"/>
                <w:b/>
                <w:bCs/>
                <w:sz w:val="24"/>
                <w:szCs w:val="24"/>
                <w:lang w:val="ru-RU" w:eastAsia="ru-RU"/>
              </w:rPr>
            </w:pPr>
          </w:p>
        </w:tc>
      </w:tr>
      <w:tr>
        <w:tblPrEx>
          <w:tblCellMar>
            <w:top w:w="0" w:type="dxa"/>
            <w:left w:w="108" w:type="dxa"/>
            <w:bottom w:w="0" w:type="dxa"/>
            <w:right w:w="108" w:type="dxa"/>
          </w:tblCellMar>
        </w:tblPrEx>
        <w:tc>
          <w:tcPr>
            <w:tcW w:w="3931" w:type="dxa"/>
            <w:noWrap w:val="0"/>
            <w:vAlign w:val="top"/>
          </w:tcPr>
          <w:p>
            <w:pPr>
              <w:snapToGrid w:val="0"/>
              <w:spacing w:after="0" w:line="240" w:lineRule="auto"/>
              <w:rPr>
                <w:rFonts w:ascii="Times New Roman" w:hAnsi="Times New Roman" w:eastAsia="Calibri" w:cs="Times New Roman"/>
                <w:b/>
                <w:bCs/>
                <w:sz w:val="28"/>
                <w:szCs w:val="28"/>
                <w:lang w:val="ru-RU" w:eastAsia="ru-RU"/>
              </w:rPr>
            </w:pPr>
          </w:p>
        </w:tc>
        <w:tc>
          <w:tcPr>
            <w:tcW w:w="5933" w:type="dxa"/>
            <w:noWrap w:val="0"/>
            <w:vAlign w:val="top"/>
          </w:tcPr>
          <w:p>
            <w:pPr>
              <w:snapToGrid w:val="0"/>
              <w:spacing w:after="0" w:line="240" w:lineRule="auto"/>
              <w:jc w:val="center"/>
              <w:rPr>
                <w:rFonts w:ascii="Times New Roman" w:hAnsi="Times New Roman" w:eastAsia="Calibri" w:cs="Times New Roman"/>
                <w:b/>
                <w:bCs/>
                <w:sz w:val="24"/>
                <w:szCs w:val="24"/>
                <w:lang w:val="ru-RU" w:eastAsia="ru-RU"/>
              </w:rPr>
            </w:pPr>
            <w:r>
              <w:rPr>
                <w:rFonts w:hint="default" w:ascii="Times New Roman" w:hAnsi="Times New Roman" w:eastAsia="Calibri" w:cs="Times New Roman"/>
                <w:b/>
                <w:sz w:val="24"/>
                <w:szCs w:val="24"/>
                <w:lang w:val="en-US" w:eastAsia="uk-UA"/>
              </w:rPr>
              <w:t>Юлія Щеглова</w:t>
            </w:r>
          </w:p>
        </w:tc>
      </w:tr>
      <w:tr>
        <w:tblPrEx>
          <w:tblCellMar>
            <w:top w:w="0" w:type="dxa"/>
            <w:left w:w="108" w:type="dxa"/>
            <w:bottom w:w="0" w:type="dxa"/>
            <w:right w:w="108" w:type="dxa"/>
          </w:tblCellMar>
        </w:tblPrEx>
        <w:tc>
          <w:tcPr>
            <w:tcW w:w="3931" w:type="dxa"/>
            <w:noWrap w:val="0"/>
            <w:vAlign w:val="top"/>
          </w:tcPr>
          <w:p>
            <w:pPr>
              <w:snapToGrid w:val="0"/>
              <w:spacing w:after="0" w:line="240" w:lineRule="auto"/>
              <w:rPr>
                <w:rFonts w:ascii="Times New Roman" w:hAnsi="Times New Roman" w:eastAsia="Calibri" w:cs="Times New Roman"/>
                <w:b/>
                <w:bCs/>
                <w:sz w:val="28"/>
                <w:szCs w:val="28"/>
                <w:lang w:val="ru-RU" w:eastAsia="ru-RU"/>
              </w:rPr>
            </w:pPr>
          </w:p>
        </w:tc>
        <w:tc>
          <w:tcPr>
            <w:tcW w:w="5933" w:type="dxa"/>
            <w:noWrap w:val="0"/>
            <w:vAlign w:val="top"/>
          </w:tcPr>
          <w:p>
            <w:pPr>
              <w:snapToGrid w:val="0"/>
              <w:spacing w:after="0" w:line="240" w:lineRule="auto"/>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val="ru-RU" w:eastAsia="ru-RU"/>
              </w:rPr>
              <w:t xml:space="preserve"> </w:t>
            </w:r>
            <w:r>
              <w:rPr>
                <w:rFonts w:ascii="Times New Roman" w:hAnsi="Times New Roman" w:eastAsia="Calibri" w:cs="Times New Roman"/>
                <w:b/>
                <w:bCs/>
                <w:sz w:val="24"/>
                <w:szCs w:val="24"/>
                <w:lang w:eastAsia="ru-RU"/>
              </w:rPr>
              <w:t xml:space="preserve">_____________________ </w:t>
            </w:r>
          </w:p>
        </w:tc>
      </w:tr>
      <w:tr>
        <w:tblPrEx>
          <w:tblCellMar>
            <w:top w:w="0" w:type="dxa"/>
            <w:left w:w="108" w:type="dxa"/>
            <w:bottom w:w="0" w:type="dxa"/>
            <w:right w:w="108" w:type="dxa"/>
          </w:tblCellMar>
        </w:tblPrEx>
        <w:tc>
          <w:tcPr>
            <w:tcW w:w="3931" w:type="dxa"/>
            <w:noWrap w:val="0"/>
            <w:vAlign w:val="top"/>
          </w:tcPr>
          <w:p>
            <w:pPr>
              <w:snapToGrid w:val="0"/>
              <w:spacing w:after="0" w:line="240" w:lineRule="auto"/>
              <w:rPr>
                <w:rFonts w:ascii="Times New Roman" w:hAnsi="Times New Roman" w:eastAsia="Calibri" w:cs="Times New Roman"/>
                <w:b/>
                <w:bCs/>
                <w:sz w:val="24"/>
                <w:szCs w:val="24"/>
                <w:lang w:eastAsia="ru-RU"/>
              </w:rPr>
            </w:pPr>
          </w:p>
        </w:tc>
        <w:tc>
          <w:tcPr>
            <w:tcW w:w="5933" w:type="dxa"/>
            <w:noWrap w:val="0"/>
            <w:vAlign w:val="top"/>
          </w:tcPr>
          <w:p>
            <w:pPr>
              <w:snapToGrid w:val="0"/>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tc>
      </w:tr>
    </w:tbl>
    <w:p>
      <w:pPr>
        <w:spacing w:after="0" w:line="240" w:lineRule="auto"/>
        <w:ind w:left="320"/>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after="0" w:line="240" w:lineRule="auto"/>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b/>
          <w:bCs/>
          <w:sz w:val="36"/>
          <w:szCs w:val="36"/>
          <w:lang w:eastAsia="ru-RU"/>
        </w:rPr>
      </w:pPr>
      <w:r>
        <w:rPr>
          <w:rFonts w:ascii="Times New Roman" w:hAnsi="Times New Roman" w:eastAsia="Calibri" w:cs="Times New Roman"/>
          <w:b/>
          <w:bCs/>
          <w:sz w:val="36"/>
          <w:szCs w:val="36"/>
          <w:lang w:eastAsia="ru-RU"/>
        </w:rPr>
        <w:t>Тендерна документація</w:t>
      </w:r>
    </w:p>
    <w:p>
      <w:pPr>
        <w:spacing w:after="0" w:line="240" w:lineRule="auto"/>
        <w:jc w:val="both"/>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8"/>
          <w:szCs w:val="28"/>
          <w:lang w:eastAsia="ru-RU"/>
        </w:rPr>
      </w:pPr>
      <w:r>
        <w:rPr>
          <w:rFonts w:ascii="Times New Roman" w:hAnsi="Times New Roman" w:eastAsia="Calibri" w:cs="Times New Roman"/>
          <w:sz w:val="28"/>
          <w:szCs w:val="28"/>
          <w:lang w:eastAsia="ru-RU"/>
        </w:rPr>
        <w:t>предмет закупівлі:</w:t>
      </w:r>
      <w:r>
        <w:rPr>
          <w:rFonts w:ascii="Times New Roman" w:hAnsi="Times New Roman" w:eastAsia="Calibri" w:cs="Times New Roman"/>
          <w:b/>
          <w:sz w:val="28"/>
          <w:szCs w:val="28"/>
          <w:lang w:eastAsia="ru-RU"/>
        </w:rPr>
        <w:t xml:space="preserve"> </w:t>
      </w:r>
    </w:p>
    <w:p>
      <w:pPr>
        <w:spacing w:after="0" w:line="240" w:lineRule="auto"/>
        <w:jc w:val="center"/>
        <w:rPr>
          <w:rFonts w:ascii="Times New Roman" w:hAnsi="Times New Roman" w:eastAsia="Calibri" w:cs="Times New Roman"/>
          <w:b/>
          <w:sz w:val="28"/>
          <w:szCs w:val="28"/>
          <w:lang w:eastAsia="ru-RU"/>
        </w:rPr>
      </w:pPr>
    </w:p>
    <w:p>
      <w:pPr>
        <w:spacing w:after="0" w:line="240" w:lineRule="auto"/>
        <w:jc w:val="center"/>
        <w:rPr>
          <w:rFonts w:ascii="Times New Roman" w:hAnsi="Times New Roman" w:eastAsia="Calibri" w:cs="Times New Roman"/>
          <w:b/>
          <w:i/>
          <w:sz w:val="28"/>
          <w:szCs w:val="28"/>
          <w:lang w:val="ru-RU" w:eastAsia="ru-RU"/>
        </w:rPr>
      </w:pPr>
      <w:r>
        <w:rPr>
          <w:rFonts w:ascii="Times New Roman" w:hAnsi="Times New Roman" w:eastAsia="Calibri" w:cs="Times New Roman"/>
          <w:b/>
          <w:sz w:val="24"/>
          <w:szCs w:val="24"/>
          <w:lang w:eastAsia="ru-RU"/>
        </w:rPr>
        <w:t xml:space="preserve">  </w:t>
      </w:r>
    </w:p>
    <w:p>
      <w:pPr>
        <w:keepNext w:val="0"/>
        <w:keepLines w:val="0"/>
        <w:widowControl/>
        <w:suppressLineNumbers w:val="0"/>
        <w:suppressAutoHyphens/>
        <w:autoSpaceDE/>
        <w:autoSpaceDN w:val="0"/>
        <w:spacing w:before="0" w:beforeAutospacing="0" w:after="0" w:afterAutospacing="0"/>
        <w:ind w:left="0" w:right="0"/>
        <w:jc w:val="center"/>
        <w:rPr>
          <w:rFonts w:hint="default" w:ascii="Liberation Serif" w:hAnsi="Liberation Serif" w:eastAsia="SimSun" w:cs="Mangal"/>
          <w:color w:val="auto"/>
          <w:kern w:val="2"/>
          <w:sz w:val="28"/>
          <w:szCs w:val="28"/>
          <w:lang w:val="en-US" w:eastAsia="zh-CN" w:bidi="ar"/>
        </w:rPr>
      </w:pPr>
      <w:r>
        <w:rPr>
          <w:rFonts w:hint="default" w:ascii="Times New Roman" w:hAnsi="Times New Roman" w:eastAsia="Calibri" w:cs="Times New Roman"/>
          <w:color w:val="auto"/>
          <w:kern w:val="2"/>
          <w:sz w:val="28"/>
          <w:szCs w:val="28"/>
          <w:lang w:val="ru-RU" w:eastAsia="ru-RU" w:bidi="ar"/>
        </w:rPr>
        <w:t>Єдиний закупівельний словник ДК 021:2015:</w:t>
      </w:r>
      <w:r>
        <w:rPr>
          <w:rFonts w:hint="default" w:ascii="Times New Roman" w:hAnsi="Times New Roman" w:eastAsia="SimSun" w:cs="Times New Roman"/>
          <w:color w:val="auto"/>
          <w:kern w:val="2"/>
          <w:sz w:val="28"/>
          <w:szCs w:val="28"/>
          <w:lang w:val="uk" w:eastAsia="zh-CN" w:bidi="ar"/>
        </w:rPr>
        <w:t xml:space="preserve"> </w:t>
      </w:r>
      <w:r>
        <w:rPr>
          <w:rFonts w:hint="default" w:ascii="Times New Roman" w:hAnsi="Times New Roman" w:eastAsia="SimSun" w:cs="Times New Roman"/>
          <w:color w:val="000000"/>
          <w:kern w:val="2"/>
          <w:sz w:val="28"/>
          <w:szCs w:val="28"/>
          <w:shd w:val="clear" w:fill="FFFFFF"/>
          <w:lang w:val="uk" w:eastAsia="ar" w:bidi="ar"/>
        </w:rPr>
        <w:t>37530000-2 Вироби для парків розваг,</w:t>
      </w:r>
    </w:p>
    <w:p>
      <w:pPr>
        <w:keepNext w:val="0"/>
        <w:keepLines w:val="0"/>
        <w:widowControl/>
        <w:suppressLineNumbers w:val="0"/>
        <w:suppressAutoHyphens/>
        <w:autoSpaceDE/>
        <w:autoSpaceDN w:val="0"/>
        <w:spacing w:before="0" w:beforeAutospacing="0" w:after="0" w:afterAutospacing="0" w:line="240" w:lineRule="auto"/>
        <w:ind w:left="0" w:right="0"/>
        <w:jc w:val="center"/>
        <w:rPr>
          <w:rFonts w:hint="default" w:ascii="Times New Roman" w:hAnsi="Times New Roman" w:eastAsia="SimSun" w:cs="Times New Roman"/>
          <w:color w:val="000000"/>
          <w:kern w:val="2"/>
          <w:sz w:val="24"/>
          <w:szCs w:val="24"/>
          <w:shd w:val="clear" w:fill="FFFFFF"/>
          <w:lang w:val="uk" w:eastAsia="ar" w:bidi="ar"/>
        </w:rPr>
      </w:pPr>
      <w:r>
        <w:rPr>
          <w:rFonts w:hint="default" w:ascii="Times New Roman" w:hAnsi="Times New Roman" w:eastAsia="SimSun" w:cs="Times New Roman"/>
          <w:color w:val="000000"/>
          <w:kern w:val="2"/>
          <w:sz w:val="28"/>
          <w:szCs w:val="28"/>
          <w:shd w:val="clear" w:fill="FFFFFF"/>
          <w:lang w:val="uk" w:eastAsia="ar" w:bidi="ar"/>
        </w:rPr>
        <w:t>настільних або кімнатних ігор</w:t>
      </w:r>
    </w:p>
    <w:p>
      <w:pPr>
        <w:spacing w:after="0" w:line="240" w:lineRule="auto"/>
        <w:jc w:val="center"/>
        <w:rPr>
          <w:rFonts w:ascii="Times New Roman" w:hAnsi="Times New Roman" w:eastAsia="Calibri" w:cs="Times New Roman"/>
          <w:i/>
          <w:sz w:val="24"/>
          <w:szCs w:val="24"/>
          <w:u w:val="single"/>
          <w:lang w:val="uk-UA" w:eastAsia="ru-RU"/>
        </w:rPr>
      </w:pPr>
      <w:r>
        <w:rPr>
          <w:rFonts w:ascii="Times New Roman" w:hAnsi="Times New Roman" w:eastAsia="Calibri" w:cs="Times New Roman"/>
          <w:b/>
          <w:i/>
          <w:sz w:val="28"/>
          <w:szCs w:val="28"/>
          <w:lang w:val="uk-UA" w:eastAsia="ru-RU"/>
        </w:rPr>
        <w:t xml:space="preserve">  </w:t>
      </w:r>
      <w:r>
        <w:rPr>
          <w:rFonts w:ascii="Times New Roman" w:hAnsi="Times New Roman" w:eastAsia="Calibri" w:cs="Times New Roman"/>
          <w:b/>
          <w:i/>
          <w:sz w:val="24"/>
          <w:szCs w:val="24"/>
          <w:lang w:val="uk-UA" w:eastAsia="ru-RU"/>
        </w:rPr>
        <w:t xml:space="preserve">                                                           </w:t>
      </w:r>
    </w:p>
    <w:p>
      <w:pPr>
        <w:spacing w:after="0" w:line="240" w:lineRule="auto"/>
        <w:jc w:val="center"/>
        <w:rPr>
          <w:rFonts w:hint="default" w:ascii="Times New Roman" w:hAnsi="Times New Roman" w:eastAsia="Calibri" w:cs="Times New Roman"/>
          <w:b/>
          <w:bCs/>
          <w:sz w:val="32"/>
          <w:szCs w:val="32"/>
          <w:lang w:val="uk-UA" w:eastAsia="ru-RU"/>
        </w:rPr>
      </w:pPr>
      <w:r>
        <w:rPr>
          <w:rFonts w:ascii="Times New Roman" w:hAnsi="Times New Roman" w:eastAsia="Calibri" w:cs="Times New Roman"/>
          <w:b/>
          <w:bCs/>
          <w:sz w:val="32"/>
          <w:szCs w:val="32"/>
          <w:lang w:val="uk-UA" w:eastAsia="ru-RU"/>
        </w:rPr>
        <w:t>Обладнання</w:t>
      </w:r>
      <w:r>
        <w:rPr>
          <w:rFonts w:hint="default" w:ascii="Times New Roman" w:hAnsi="Times New Roman" w:eastAsia="Calibri" w:cs="Times New Roman"/>
          <w:b/>
          <w:bCs/>
          <w:sz w:val="32"/>
          <w:szCs w:val="32"/>
          <w:lang w:val="uk-UA" w:eastAsia="ru-RU"/>
        </w:rPr>
        <w:t xml:space="preserve"> для дитячого ігрового майданчика</w:t>
      </w:r>
    </w:p>
    <w:p>
      <w:pPr>
        <w:spacing w:after="0" w:line="240" w:lineRule="auto"/>
        <w:jc w:val="center"/>
        <w:rPr>
          <w:rFonts w:ascii="Times New Roman" w:hAnsi="Times New Roman" w:eastAsia="Calibri" w:cs="Times New Roman"/>
          <w:b/>
          <w:bCs/>
          <w:sz w:val="32"/>
          <w:szCs w:val="32"/>
          <w:lang w:eastAsia="ru-RU"/>
        </w:rPr>
      </w:pPr>
    </w:p>
    <w:p>
      <w:pPr>
        <w:spacing w:after="0" w:line="240" w:lineRule="auto"/>
        <w:jc w:val="center"/>
        <w:rPr>
          <w:rFonts w:ascii="Times New Roman" w:hAnsi="Times New Roman" w:eastAsia="Calibri" w:cs="Times New Roman"/>
          <w:sz w:val="32"/>
          <w:szCs w:val="32"/>
          <w:lang w:eastAsia="ru-RU"/>
        </w:rPr>
      </w:pPr>
    </w:p>
    <w:p>
      <w:pPr>
        <w:spacing w:after="0" w:line="240" w:lineRule="auto"/>
        <w:jc w:val="center"/>
        <w:rPr>
          <w:rFonts w:ascii="Times New Roman" w:hAnsi="Times New Roman" w:eastAsia="Calibri" w:cs="Times New Roman"/>
          <w:b/>
          <w:sz w:val="32"/>
          <w:szCs w:val="32"/>
          <w:lang w:eastAsia="ru-RU"/>
        </w:rPr>
      </w:pPr>
      <w:r>
        <w:rPr>
          <w:rFonts w:ascii="Times New Roman" w:hAnsi="Times New Roman" w:eastAsia="Calibri" w:cs="Times New Roman"/>
          <w:sz w:val="32"/>
          <w:szCs w:val="32"/>
          <w:lang w:eastAsia="ru-RU"/>
        </w:rPr>
        <w:t xml:space="preserve">процедура закупівлі - </w:t>
      </w:r>
      <w:r>
        <w:rPr>
          <w:rFonts w:ascii="Times New Roman" w:hAnsi="Times New Roman" w:eastAsia="Calibri" w:cs="Times New Roman"/>
          <w:b/>
          <w:sz w:val="32"/>
          <w:szCs w:val="32"/>
          <w:lang w:eastAsia="ru-RU"/>
        </w:rPr>
        <w:t>відкриті торги з особливостями</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ind w:left="-720"/>
        <w:jc w:val="center"/>
        <w:rPr>
          <w:rFonts w:hint="default" w:ascii="Times New Roman" w:hAnsi="Times New Roman" w:eastAsia="Calibri" w:cs="Times New Roman"/>
          <w:b/>
          <w:sz w:val="28"/>
          <w:szCs w:val="28"/>
          <w:lang w:val="uk-UA" w:eastAsia="ru-RU"/>
        </w:rPr>
      </w:pPr>
      <w:r>
        <w:rPr>
          <w:rFonts w:ascii="Times New Roman" w:hAnsi="Times New Roman" w:eastAsia="Calibri" w:cs="Times New Roman"/>
          <w:b/>
          <w:sz w:val="28"/>
          <w:szCs w:val="28"/>
          <w:lang w:val="uk-UA" w:eastAsia="ru-RU"/>
        </w:rPr>
        <w:t>Червоноград</w:t>
      </w:r>
      <w:r>
        <w:rPr>
          <w:rFonts w:ascii="Times New Roman" w:hAnsi="Times New Roman" w:eastAsia="Calibri" w:cs="Times New Roman"/>
          <w:b/>
          <w:sz w:val="28"/>
          <w:szCs w:val="28"/>
          <w:lang w:eastAsia="ru-RU"/>
        </w:rPr>
        <w:t>-202</w:t>
      </w:r>
      <w:r>
        <w:rPr>
          <w:rFonts w:hint="default" w:ascii="Times New Roman" w:hAnsi="Times New Roman" w:eastAsia="Calibri" w:cs="Times New Roman"/>
          <w:b/>
          <w:sz w:val="28"/>
          <w:szCs w:val="28"/>
          <w:lang w:val="uk-UA" w:eastAsia="ru-RU"/>
        </w:rPr>
        <w:t>3</w:t>
      </w:r>
    </w:p>
    <w:p>
      <w:pPr>
        <w:spacing w:before="240" w:after="0" w:line="240" w:lineRule="auto"/>
        <w:jc w:val="center"/>
        <w:rPr>
          <w:rFonts w:ascii="Times New Roman" w:hAnsi="Times New Roman" w:eastAsia="Times New Roman" w:cs="Times New Roman"/>
          <w:sz w:val="32"/>
          <w:szCs w:val="32"/>
        </w:rPr>
      </w:pPr>
    </w:p>
    <w:tbl>
      <w:tblPr>
        <w:tblStyle w:val="28"/>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                                               </w:t>
            </w:r>
            <w:bookmarkStart w:id="0" w:name="_heading=h.1fob9te" w:colFirst="0" w:colLast="0"/>
            <w:bookmarkEnd w:id="0"/>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highlight w:val="cyan"/>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hint="default" w:ascii="Times New Roman" w:hAnsi="Times New Roman" w:cs="Times New Roman"/>
                <w:b/>
                <w:sz w:val="24"/>
                <w:szCs w:val="24"/>
                <w:lang w:val="uk-UA"/>
              </w:rPr>
              <w:t>Відділ освіти Червоноградської міської ради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b/>
                <w:sz w:val="24"/>
                <w:szCs w:val="24"/>
                <w:highlight w:val="cyan"/>
              </w:rPr>
            </w:pPr>
            <w:r>
              <w:rPr>
                <w:rFonts w:hint="default" w:ascii="Times New Roman" w:hAnsi="Times New Roman" w:cs="Times New Roman"/>
                <w:b/>
                <w:sz w:val="24"/>
                <w:szCs w:val="24"/>
                <w:lang w:val="uk-UA"/>
              </w:rPr>
              <w:t>М. Червоноград, проспект Шевченка, 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rPr>
                <w:rFonts w:hint="default" w:ascii="Times New Roman" w:hAnsi="Times New Roman" w:cs="Times New Roman"/>
                <w:sz w:val="24"/>
                <w:szCs w:val="24"/>
                <w:lang w:val="uk-UA"/>
              </w:rPr>
            </w:pPr>
            <w:r>
              <w:rPr>
                <w:rFonts w:hint="default" w:ascii="Times New Roman" w:hAnsi="Times New Roman" w:cs="Times New Roman"/>
                <w:sz w:val="24"/>
                <w:szCs w:val="24"/>
                <w:lang w:val="uk-UA"/>
              </w:rPr>
              <w:t>Щеглова Юлія Петрівна</w:t>
            </w:r>
          </w:p>
          <w:p>
            <w:pPr>
              <w:rPr>
                <w:rFonts w:hint="default" w:ascii="Times New Roman" w:hAnsi="Times New Roman" w:cs="Times New Roman"/>
                <w:sz w:val="24"/>
                <w:szCs w:val="24"/>
                <w:lang w:val="uk-UA"/>
              </w:rPr>
            </w:pPr>
            <w:r>
              <w:rPr>
                <w:rFonts w:hint="default" w:ascii="Times New Roman" w:hAnsi="Times New Roman" w:cs="Times New Roman"/>
                <w:sz w:val="24"/>
                <w:szCs w:val="24"/>
                <w:lang w:val="uk-UA"/>
              </w:rPr>
              <w:t>Бухгалтер ІІ категорії, уповноважена особа</w:t>
            </w:r>
          </w:p>
          <w:p>
            <w:pPr>
              <w:rPr>
                <w:rFonts w:hint="default" w:ascii="Times New Roman" w:hAnsi="Times New Roman" w:cs="Times New Roman"/>
                <w:sz w:val="24"/>
                <w:szCs w:val="24"/>
                <w:lang w:val="en-US" w:eastAsia="uk-UA"/>
              </w:rPr>
            </w:pPr>
            <w:r>
              <w:rPr>
                <w:rFonts w:hint="default" w:ascii="Times New Roman" w:hAnsi="Times New Roman" w:cs="Times New Roman"/>
                <w:sz w:val="24"/>
                <w:szCs w:val="24"/>
                <w:lang w:val="uk-UA" w:eastAsia="uk-UA"/>
              </w:rPr>
              <w:t>Тел</w:t>
            </w:r>
            <w:r>
              <w:rPr>
                <w:rFonts w:hint="default" w:ascii="Times New Roman" w:hAnsi="Times New Roman" w:cs="Times New Roman"/>
                <w:sz w:val="24"/>
                <w:szCs w:val="24"/>
                <w:lang w:val="en-US" w:eastAsia="uk-UA"/>
              </w:rPr>
              <w:t>.(097)8609327</w:t>
            </w:r>
          </w:p>
          <w:p>
            <w:pPr>
              <w:spacing w:after="0" w:line="240" w:lineRule="auto"/>
              <w:jc w:val="both"/>
              <w:rPr>
                <w:rFonts w:ascii="Times New Roman" w:hAnsi="Times New Roman" w:eastAsia="Times New Roman" w:cs="Times New Roman"/>
                <w:b/>
                <w:i/>
                <w:color w:val="FF0000"/>
                <w:sz w:val="24"/>
                <w:szCs w:val="24"/>
                <w:highlight w:val="yellow"/>
              </w:rPr>
            </w:pPr>
            <w:r>
              <w:rPr>
                <w:rFonts w:hint="default" w:ascii="Times New Roman" w:hAnsi="Times New Roman" w:cs="Times New Roman"/>
                <w:sz w:val="24"/>
                <w:szCs w:val="24"/>
                <w:lang w:val="en-US" w:eastAsia="uk-UA"/>
              </w:rPr>
              <w:t>Julia90pavluk@ukr.net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after="0" w:line="240" w:lineRule="auto"/>
              <w:jc w:val="center"/>
              <w:rPr>
                <w:rFonts w:ascii="Times New Roman" w:hAnsi="Times New Roman" w:cs="Times New Roman"/>
                <w:b/>
                <w:bCs/>
                <w:sz w:val="24"/>
                <w:szCs w:val="24"/>
              </w:rPr>
            </w:pPr>
          </w:p>
          <w:p>
            <w:pPr>
              <w:spacing w:after="0" w:line="240" w:lineRule="auto"/>
              <w:jc w:val="center"/>
              <w:rPr>
                <w:rStyle w:val="11"/>
                <w:rFonts w:hint="default" w:ascii="Times New Roman" w:hAnsi="Times New Roman" w:eastAsia="Liberation Serif" w:cs="Times New Roman"/>
                <w:b w:val="0"/>
                <w:bCs/>
                <w:i w:val="0"/>
                <w:iCs w:val="0"/>
                <w:sz w:val="24"/>
                <w:szCs w:val="24"/>
                <w:lang w:val="uk" w:eastAsia="ar" w:bidi="ar"/>
              </w:rPr>
            </w:pPr>
            <w:r>
              <w:rPr>
                <w:rStyle w:val="11"/>
                <w:rFonts w:hint="default" w:ascii="Times New Roman" w:hAnsi="Times New Roman" w:eastAsia="Liberation Serif" w:cs="Times New Roman"/>
                <w:b w:val="0"/>
                <w:bCs/>
                <w:i w:val="0"/>
                <w:iCs w:val="0"/>
                <w:sz w:val="24"/>
                <w:szCs w:val="24"/>
                <w:lang w:val="uk" w:eastAsia="ar" w:bidi="ar"/>
              </w:rPr>
              <w:t xml:space="preserve">Придбання та встановлення </w:t>
            </w:r>
          </w:p>
          <w:p>
            <w:pPr>
              <w:spacing w:after="0" w:line="240" w:lineRule="auto"/>
              <w:jc w:val="center"/>
              <w:rPr>
                <w:rFonts w:hint="default" w:ascii="Times New Roman" w:hAnsi="Times New Roman" w:eastAsia="Times New Roman" w:cs="Times New Roman"/>
                <w:b/>
                <w:bCs/>
                <w:i w:val="0"/>
                <w:iCs w:val="0"/>
                <w:color w:val="000000"/>
                <w:kern w:val="0"/>
                <w:sz w:val="24"/>
                <w:szCs w:val="24"/>
                <w:shd w:val="clear" w:fill="FFFFFF"/>
                <w:lang w:val="uk" w:eastAsia="ar" w:bidi="ar"/>
              </w:rPr>
            </w:pPr>
            <w:r>
              <w:rPr>
                <w:rFonts w:hint="default" w:ascii="Times New Roman" w:hAnsi="Times New Roman" w:eastAsia="Calibri" w:cs="Times New Roman"/>
                <w:b w:val="0"/>
                <w:bCs w:val="0"/>
                <w:i w:val="0"/>
                <w:iCs w:val="0"/>
                <w:sz w:val="24"/>
                <w:szCs w:val="24"/>
                <w:lang w:val="uk-UA" w:eastAsia="ru-RU"/>
              </w:rPr>
              <w:t>Обладнання для дитячого ігрового майданчика</w:t>
            </w:r>
          </w:p>
          <w:p>
            <w:pPr>
              <w:spacing w:after="0" w:line="240" w:lineRule="auto"/>
              <w:jc w:val="both"/>
              <w:rPr>
                <w:rFonts w:ascii="Times New Roman" w:hAnsi="Times New Roman" w:eastAsia="Times New Roman" w:cs="Times New Roman"/>
                <w:i/>
                <w:sz w:val="24"/>
                <w:szCs w:val="24"/>
              </w:rPr>
            </w:pPr>
            <w:r>
              <w:rPr>
                <w:rStyle w:val="11"/>
                <w:rFonts w:hint="default" w:ascii="Times New Roman" w:hAnsi="Times New Roman" w:eastAsia="Liberation Serif" w:cs="Times New Roman"/>
                <w:b w:val="0"/>
                <w:bCs/>
                <w:i w:val="0"/>
                <w:iCs w:val="0"/>
                <w:sz w:val="24"/>
                <w:szCs w:val="24"/>
                <w:lang w:val="uk" w:eastAsia="ar" w:bidi="ar"/>
              </w:rPr>
              <w:t xml:space="preserve"> </w:t>
            </w:r>
            <w:r>
              <w:rPr>
                <w:rStyle w:val="30"/>
                <w:rFonts w:hint="default" w:ascii="Times New Roman" w:hAnsi="Times New Roman" w:cs="Times New Roman"/>
                <w:i w:val="0"/>
                <w:iCs w:val="0"/>
                <w:sz w:val="24"/>
                <w:szCs w:val="24"/>
                <w:lang w:val="uk" w:eastAsia="ar" w:bidi="ar"/>
              </w:rPr>
              <w:t xml:space="preserve">згідно </w:t>
            </w:r>
            <w:bookmarkStart w:id="1" w:name="_Hlk427252801"/>
            <w:r>
              <w:rPr>
                <w:rStyle w:val="30"/>
                <w:rFonts w:hint="default" w:ascii="Times New Roman" w:hAnsi="Times New Roman" w:cs="Times New Roman"/>
                <w:i w:val="0"/>
                <w:iCs w:val="0"/>
                <w:sz w:val="24"/>
                <w:szCs w:val="24"/>
                <w:lang w:val="uk" w:eastAsia="ar" w:bidi="ar"/>
              </w:rPr>
              <w:t xml:space="preserve">коду </w:t>
            </w:r>
            <w:r>
              <w:rPr>
                <w:rStyle w:val="11"/>
                <w:rFonts w:hint="default" w:ascii="Times New Roman" w:hAnsi="Times New Roman" w:eastAsia="Liberation Serif" w:cs="Times New Roman"/>
                <w:i w:val="0"/>
                <w:iCs w:val="0"/>
                <w:sz w:val="24"/>
                <w:szCs w:val="24"/>
                <w:lang w:val="uk" w:eastAsia="ar" w:bidi="ar"/>
              </w:rPr>
              <w:t>ДК 021:2015:37530000-2 Вироби для парків розваг, настільних або кімнатних ігор</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Закупівля здійснюється щодо предмет</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закупівлі в цілому.</w:t>
            </w:r>
          </w:p>
          <w:p>
            <w:pPr>
              <w:widowControl w:val="0"/>
              <w:spacing w:after="0" w:line="240" w:lineRule="auto"/>
              <w:ind w:right="120"/>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 xml:space="preserve">кількість товару та місце його поставки </w:t>
            </w:r>
          </w:p>
        </w:tc>
        <w:tc>
          <w:tcPr>
            <w:tcW w:w="6420" w:type="dxa"/>
          </w:tcPr>
          <w:p>
            <w:pPr>
              <w:widowControl w:val="0"/>
              <w:spacing w:after="0" w:line="240" w:lineRule="auto"/>
              <w:ind w:right="120"/>
              <w:jc w:val="both"/>
              <w:rPr>
                <w:rFonts w:ascii="Times New Roman" w:hAnsi="Times New Roman" w:eastAsia="Times New Roman" w:cs="Times New Roman"/>
                <w:i/>
                <w:color w:val="4A86E8"/>
                <w:sz w:val="24"/>
                <w:szCs w:val="24"/>
              </w:rPr>
            </w:pPr>
            <w:r>
              <w:rPr>
                <w:rFonts w:ascii="Times New Roman" w:hAnsi="Times New Roman" w:eastAsia="Times New Roman" w:cs="Times New Roman"/>
                <w:color w:val="000000"/>
                <w:sz w:val="24"/>
                <w:szCs w:val="24"/>
              </w:rPr>
              <w:t>Кількість</w:t>
            </w:r>
            <w:r>
              <w:rPr>
                <w:rFonts w:hint="default" w:ascii="Times New Roman" w:hAnsi="Times New Roman" w:eastAsia="Times New Roman" w:cs="Times New Roman"/>
                <w:color w:val="000000"/>
                <w:sz w:val="24"/>
                <w:szCs w:val="24"/>
                <w:lang w:val="uk-UA"/>
              </w:rPr>
              <w:t xml:space="preserve"> та </w:t>
            </w:r>
            <w:r>
              <w:rPr>
                <w:rFonts w:ascii="Times New Roman" w:hAnsi="Times New Roman" w:eastAsia="Times New Roman" w:cs="Times New Roman"/>
                <w:color w:val="000000"/>
                <w:sz w:val="24"/>
                <w:szCs w:val="24"/>
              </w:rPr>
              <w:t xml:space="preserve">Місце поставки товарів:  за адресами навчальних закладів, підпорядкованих Замовнику. Додаток 5 </w:t>
            </w:r>
          </w:p>
          <w:p>
            <w:pPr>
              <w:widowControl w:val="0"/>
              <w:spacing w:after="0" w:line="240" w:lineRule="auto"/>
              <w:ind w:right="120"/>
              <w:jc w:val="both"/>
              <w:rPr>
                <w:rFonts w:ascii="Times New Roman" w:hAnsi="Times New Roman" w:eastAsia="Times New Roman" w:cs="Times New Roman"/>
                <w:i/>
                <w:color w:val="4A86E8"/>
                <w:sz w:val="24"/>
                <w:szCs w:val="24"/>
                <w:highlight w:val="whit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highlight w:val="cyan"/>
              </w:rPr>
            </w:pPr>
            <w:r>
              <w:rPr>
                <w:rFonts w:ascii="Times New Roman" w:hAnsi="Times New Roman" w:eastAsia="Times New Roman" w:cs="Times New Roman"/>
                <w:sz w:val="24"/>
                <w:szCs w:val="24"/>
              </w:rPr>
              <w:t>до </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3</w:t>
            </w:r>
            <w:r>
              <w:rPr>
                <w:rFonts w:hint="default" w:ascii="Times New Roman" w:hAnsi="Times New Roman" w:eastAsia="Times New Roman" w:cs="Times New Roman"/>
                <w:sz w:val="24"/>
                <w:szCs w:val="24"/>
                <w:lang w:val="uk-UA"/>
              </w:rPr>
              <w:t>1 .08.</w:t>
            </w:r>
            <w:r>
              <w:rPr>
                <w:rFonts w:ascii="Times New Roman" w:hAnsi="Times New Roman" w:eastAsia="Times New Roman" w:cs="Times New Roman"/>
                <w:sz w:val="24"/>
                <w:szCs w:val="24"/>
              </w:rPr>
              <w:t xml:space="preserve">  2023 року включно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Валютою тендерної пропозиції є гривня.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44 Особливостей*, – </w:t>
            </w:r>
            <w:r>
              <w:rPr>
                <w:rFonts w:ascii="Times New Roman" w:hAnsi="Times New Roman" w:eastAsia="Times New Roman" w:cs="Times New Roman"/>
                <w:b/>
                <w:i/>
                <w:sz w:val="24"/>
                <w:szCs w:val="24"/>
              </w:rPr>
              <w:t>згідно з 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uk-UA"/>
              </w:rPr>
              <w:t>Цінову</w:t>
            </w:r>
            <w:r>
              <w:rPr>
                <w:rFonts w:hint="default" w:ascii="Times New Roman" w:hAnsi="Times New Roman" w:eastAsia="Times New Roman" w:cs="Times New Roman"/>
                <w:sz w:val="24"/>
                <w:szCs w:val="24"/>
                <w:lang w:val="uk-UA"/>
              </w:rPr>
              <w:t xml:space="preserve"> пропозицію згідно з </w:t>
            </w:r>
            <w:r>
              <w:rPr>
                <w:rFonts w:hint="default" w:ascii="Times New Roman" w:hAnsi="Times New Roman" w:eastAsia="Times New Roman" w:cs="Times New Roman"/>
                <w:b/>
                <w:bCs/>
                <w:i/>
                <w:iCs/>
                <w:sz w:val="24"/>
                <w:szCs w:val="24"/>
                <w:lang w:val="uk-UA"/>
              </w:rPr>
              <w:t>Додатком 6</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2" w:name="_heading=h.3znysh7" w:colFirst="0" w:colLast="0"/>
            <w:bookmarkEnd w:id="2"/>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3" w:name="_heading=h.2et92p0" w:colFirst="0" w:colLast="0"/>
            <w:bookmarkEnd w:id="3"/>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widowControl w:val="0"/>
              <w:spacing w:after="0" w:line="240" w:lineRule="auto"/>
              <w:jc w:val="both"/>
              <w:rPr>
                <w:rFonts w:ascii="Times New Roman" w:hAnsi="Times New Roman" w:eastAsia="Times New Roman" w:cs="Times New Roman"/>
                <w:sz w:val="24"/>
                <w:szCs w:val="24"/>
              </w:rPr>
            </w:pPr>
            <w:bookmarkStart w:id="4" w:name="_heading=h.hjqm8skarbdr" w:colFirst="0" w:colLast="0"/>
            <w:bookmarkEnd w:id="4"/>
            <w:r>
              <w:rPr>
                <w:rFonts w:ascii="Times New Roman" w:hAnsi="Times New Roman" w:eastAsia="Times New Roman" w:cs="Times New Roman"/>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sz w:val="24"/>
                <w:szCs w:val="24"/>
              </w:rPr>
            </w:pPr>
            <w:bookmarkStart w:id="5" w:name="_heading=h.ftj7vaqoric" w:colFirst="0" w:colLast="0"/>
            <w:bookmarkEnd w:id="5"/>
            <w:r>
              <w:rPr>
                <w:rFonts w:ascii="Times New Roman" w:hAnsi="Times New Roman" w:eastAsia="Times New Roman" w:cs="Times New Roman"/>
                <w:sz w:val="24"/>
                <w:szCs w:val="24"/>
              </w:rPr>
              <w:t>Кожен учасник має право подати тільки одну тендерну пропозицію</w:t>
            </w:r>
            <w:r>
              <w:rPr>
                <w:rFonts w:ascii="Times New Roman" w:hAnsi="Times New Roman" w:eastAsia="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6" w:name="_heading=h.tyjcwt" w:colFirst="0" w:colLast="0"/>
            <w:bookmarkEnd w:id="6"/>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highlight w:val="yellow"/>
              </w:rPr>
            </w:pPr>
          </w:p>
          <w:p>
            <w:pPr>
              <w:widowControl w:val="0"/>
              <w:spacing w:after="0" w:line="240" w:lineRule="auto"/>
              <w:jc w:val="both"/>
              <w:rPr>
                <w:rFonts w:ascii="Times New Roman" w:hAnsi="Times New Roman" w:eastAsia="Times New Roman" w:cs="Times New Roman"/>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120 (ста двадцяти)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w:t>
            </w:r>
            <w:r>
              <w:rPr>
                <w:rFonts w:ascii="Times New Roman" w:hAnsi="Times New Roman" w:eastAsia="Times New Roman" w:cs="Times New Roman"/>
                <w:b/>
                <w:sz w:val="24"/>
                <w:szCs w:val="24"/>
              </w:rPr>
              <w:t>,</w:t>
            </w:r>
            <w:r>
              <w:rPr>
                <w:rFonts w:ascii="Times New Roman" w:hAnsi="Times New Roman" w:eastAsia="Times New Roman" w:cs="Times New Roman"/>
                <w:b/>
                <w:color w:val="00B050"/>
                <w:sz w:val="24"/>
                <w:szCs w:val="24"/>
              </w:rPr>
              <w:t xml:space="preserve"> </w:t>
            </w:r>
            <w:r>
              <w:rPr>
                <w:rFonts w:ascii="Times New Roman" w:hAnsi="Times New Roman" w:eastAsia="Times New Roman" w:cs="Times New Roman"/>
                <w:b/>
                <w:sz w:val="24"/>
                <w:szCs w:val="24"/>
              </w:rPr>
              <w:t>згідно  з пунктом 28  та пунктом 44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Спосіб  підтвердження відповідності учасника критеріям і вимогам згідно із законодавством наведено в</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Підстави, </w:t>
            </w:r>
            <w:r>
              <w:rPr>
                <w:rFonts w:ascii="Times New Roman" w:hAnsi="Times New Roman" w:eastAsia="Times New Roman" w:cs="Times New Roman"/>
                <w:b/>
                <w:sz w:val="24"/>
                <w:szCs w:val="24"/>
              </w:rPr>
              <w:t>визначені пунктом 44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20 млн. гривень (у тому числі за лотом);</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 xml:space="preserve">Додатку 2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sz w:val="24"/>
                <w:szCs w:val="24"/>
              </w:rPr>
              <w:t>субпідрядника /співвиконавця</w:t>
            </w:r>
            <w:r>
              <w:rPr>
                <w:rFonts w:ascii="Times New Roman" w:hAnsi="Times New Roman" w:eastAsia="Times New Roman" w:cs="Times New Roman"/>
                <w:b/>
                <w:color w:val="FF0000"/>
                <w:sz w:val="24"/>
                <w:szCs w:val="24"/>
              </w:rPr>
              <w:t xml:space="preserve"> </w:t>
            </w:r>
          </w:p>
        </w:tc>
        <w:tc>
          <w:tcPr>
            <w:tcW w:w="6420" w:type="dxa"/>
            <w:vAlign w:val="center"/>
          </w:tcPr>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b/>
                <w:sz w:val="24"/>
                <w:szCs w:val="24"/>
                <w:highlight w:val="none"/>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sz w:val="24"/>
                <w:szCs w:val="24"/>
              </w:rPr>
              <w:t>—</w:t>
            </w:r>
            <w:r>
              <w:rPr>
                <w:rFonts w:ascii="Times New Roman" w:hAnsi="Times New Roman" w:eastAsia="Times New Roman" w:cs="Times New Roman"/>
                <w:b/>
                <w:sz w:val="24"/>
                <w:szCs w:val="24"/>
                <w:highlight w:val="none"/>
              </w:rPr>
              <w:t xml:space="preserve"> </w:t>
            </w:r>
            <w:r>
              <w:rPr>
                <w:rFonts w:hint="default" w:ascii="Times New Roman" w:hAnsi="Times New Roman" w:eastAsia="Times New Roman" w:cs="Times New Roman"/>
                <w:b/>
                <w:sz w:val="24"/>
                <w:szCs w:val="24"/>
                <w:highlight w:val="none"/>
                <w:lang w:val="uk-UA"/>
              </w:rPr>
              <w:t xml:space="preserve">26 </w:t>
            </w:r>
            <w:r>
              <w:rPr>
                <w:rFonts w:ascii="Times New Roman" w:hAnsi="Times New Roman" w:eastAsia="Times New Roman" w:cs="Times New Roman"/>
                <w:b/>
                <w:sz w:val="24"/>
                <w:szCs w:val="24"/>
                <w:highlight w:val="none"/>
              </w:rPr>
              <w:t>березня 2023 року</w:t>
            </w:r>
            <w:bookmarkStart w:id="8" w:name="_GoBack"/>
            <w:bookmarkEnd w:id="8"/>
          </w:p>
          <w:p>
            <w:pPr>
              <w:widowControl w:val="0"/>
              <w:spacing w:after="0" w:line="240" w:lineRule="auto"/>
              <w:ind w:left="40" w:right="120"/>
              <w:jc w:val="both"/>
              <w:rPr>
                <w:rFonts w:ascii="Times New Roman" w:hAnsi="Times New Roman" w:eastAsia="Times New Roman" w:cs="Times New Roman"/>
                <w:sz w:val="24"/>
                <w:szCs w:val="24"/>
                <w:highlight w:val="magenta"/>
              </w:rPr>
            </w:pPr>
            <w:r>
              <w:rPr>
                <w:rFonts w:ascii="Times New Roman" w:hAnsi="Times New Roman" w:eastAsia="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відбуваються відповідно до пунктів 35, 37 і 38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Відкриті торги проводяться без застосування електронного аукціону.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Критерії та методика оцінки визначаються відповідно до пункту 37 Особливостей.</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Перелік критеріїв та методика оцінки тендерної пропозиції із зазначенням питомої ваги критерію: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Ціна тендерної пропозиції </w:t>
            </w:r>
            <w:r>
              <w:rPr>
                <w:rFonts w:ascii="Times New Roman" w:hAnsi="Times New Roman" w:eastAsia="Times New Roman" w:cs="Times New Roman"/>
                <w:i/>
                <w:color w:val="FF0000"/>
                <w:sz w:val="24"/>
                <w:szCs w:val="24"/>
              </w:rPr>
              <w:t xml:space="preserve"> </w:t>
            </w:r>
            <w:r>
              <w:rPr>
                <w:rFonts w:ascii="Times New Roman" w:hAnsi="Times New Roman" w:eastAsia="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i/>
                <w:color w:val="4A86E8"/>
                <w:sz w:val="24"/>
                <w:szCs w:val="24"/>
              </w:rPr>
            </w:pPr>
            <w:r>
              <w:rPr>
                <w:rFonts w:ascii="Times New Roman" w:hAnsi="Times New Roman" w:eastAsia="Times New Roman" w:cs="Times New Roman"/>
                <w:i/>
                <w:sz w:val="24"/>
                <w:szCs w:val="24"/>
              </w:rPr>
              <w:t xml:space="preserve">До розгляду </w:t>
            </w:r>
            <w:r>
              <w:rPr>
                <w:rFonts w:ascii="Times New Roman" w:hAnsi="Times New Roman" w:eastAsia="Times New Roman" w:cs="Times New Roman"/>
                <w:i/>
                <w:sz w:val="24"/>
                <w:szCs w:val="24"/>
                <w:u w:val="single"/>
              </w:rPr>
              <w:t xml:space="preserve"> не приймається</w:t>
            </w:r>
            <w:r>
              <w:rPr>
                <w:rFonts w:ascii="Times New Roman" w:hAnsi="Times New Roman" w:eastAsia="Times New Roman" w:cs="Times New Roman"/>
                <w:i/>
                <w:color w:val="FF0000"/>
                <w:sz w:val="24"/>
                <w:szCs w:val="24"/>
                <w:u w:val="single"/>
              </w:rPr>
              <w:t xml:space="preserve"> </w:t>
            </w:r>
            <w:r>
              <w:rPr>
                <w:rFonts w:ascii="Times New Roman" w:hAnsi="Times New Roman" w:eastAsia="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визначає ціни на </w:t>
            </w:r>
            <w:r>
              <w:rPr>
                <w:rFonts w:ascii="Times New Roman" w:hAnsi="Times New Roman" w:eastAsia="Times New Roman" w:cs="Times New Roman"/>
                <w:b/>
                <w:sz w:val="24"/>
                <w:szCs w:val="24"/>
              </w:rPr>
              <w:t>товар</w:t>
            </w:r>
            <w:r>
              <w:rPr>
                <w:rFonts w:ascii="Times New Roman" w:hAnsi="Times New Roman" w:eastAsia="Times New Roman" w:cs="Times New Roman"/>
                <w:sz w:val="24"/>
                <w:szCs w:val="24"/>
              </w:rPr>
              <w:t xml:space="preserve">, що він пропонує </w:t>
            </w:r>
            <w:r>
              <w:rPr>
                <w:rFonts w:ascii="Times New Roman" w:hAnsi="Times New Roman" w:eastAsia="Times New Roman" w:cs="Times New Roman"/>
                <w:b/>
                <w:sz w:val="24"/>
                <w:szCs w:val="24"/>
              </w:rPr>
              <w:t xml:space="preserve">поставити </w:t>
            </w:r>
            <w:r>
              <w:rPr>
                <w:rFonts w:ascii="Times New Roman" w:hAnsi="Times New Roman" w:eastAsia="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cs="Times New Roman"/>
                <w:b/>
                <w:sz w:val="24"/>
                <w:szCs w:val="24"/>
              </w:rPr>
              <w:t xml:space="preserve">товару </w:t>
            </w:r>
            <w:r>
              <w:rPr>
                <w:rFonts w:ascii="Times New Roman" w:hAnsi="Times New Roman" w:eastAsia="Times New Roman" w:cs="Times New Roman"/>
                <w:sz w:val="24"/>
                <w:szCs w:val="24"/>
              </w:rPr>
              <w:t>даного виду.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Обґрунтування аномально низької тендерної пропозиції може містити інформацію про:</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отримання учасником процедури закупівлі державної допомоги згідно із законодавством.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eastAsia="Times New Roman" w:cs="Times New Roman"/>
                <w:b/>
                <w:i/>
                <w:sz w:val="24"/>
                <w:szCs w:val="24"/>
                <w:highlight w:val="white"/>
              </w:rPr>
              <w:t xml:space="preserve">не може бути меншим ніж два робочі дні </w:t>
            </w:r>
            <w:r>
              <w:rPr>
                <w:rFonts w:ascii="Times New Roman" w:hAnsi="Times New Roman" w:eastAsia="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hd w:val="clear" w:color="auto" w:fill="FFFFFF"/>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i/>
                <w:sz w:val="24"/>
                <w:szCs w:val="24"/>
                <w:highlight w:val="white"/>
              </w:rPr>
              <w:t>Під невідповідністю</w:t>
            </w:r>
            <w:r>
              <w:rPr>
                <w:rFonts w:ascii="Times New Roman" w:hAnsi="Times New Roman" w:eastAsia="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widowControl w:val="0"/>
              <w:shd w:val="clear" w:color="auto" w:fill="FFFFFF"/>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i/>
                <w:sz w:val="24"/>
                <w:szCs w:val="24"/>
                <w:highlight w:val="white"/>
              </w:rPr>
              <w:t>Невідповідністю</w:t>
            </w:r>
            <w:r>
              <w:rPr>
                <w:rFonts w:ascii="Times New Roman" w:hAnsi="Times New Roman" w:eastAsia="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Pr>
              <w:t>протягом 24 годин</w:t>
            </w:r>
            <w:r>
              <w:rPr>
                <w:rFonts w:ascii="Times New Roman" w:hAnsi="Times New Roman" w:eastAsia="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u w:val="single"/>
              </w:rPr>
              <w:t>Інші умови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4"/>
                <w:szCs w:val="24"/>
              </w:rPr>
              <w:t>Додатку 3</w:t>
            </w:r>
            <w:r>
              <w:rPr>
                <w:rFonts w:ascii="Times New Roman" w:hAnsi="Times New Roman" w:eastAsia="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4"/>
                <w:szCs w:val="24"/>
              </w:rPr>
              <w:t>в п. 4 Розділу 3</w:t>
            </w:r>
            <w:r>
              <w:rPr>
                <w:rFonts w:ascii="Times New Roman" w:hAnsi="Times New Roman" w:eastAsia="Times New Roman" w:cs="Times New Roman"/>
                <w:sz w:val="24"/>
                <w:szCs w:val="24"/>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Тендерна пропозиція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Замовник відхиляє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widowControl w:val="0"/>
              <w:spacing w:after="0" w:line="240" w:lineRule="auto"/>
              <w:jc w:val="both"/>
              <w:rPr>
                <w:rFonts w:ascii="Times New Roman" w:hAnsi="Times New Roman" w:eastAsia="Times New Roman" w:cs="Times New Roman"/>
                <w:color w:val="00B050"/>
                <w:sz w:val="24"/>
                <w:szCs w:val="24"/>
              </w:rPr>
            </w:pPr>
            <w:r>
              <w:rPr>
                <w:rFonts w:ascii="Times New Roman" w:hAnsi="Times New Roman" w:eastAsia="Times New Roman" w:cs="Times New Roman"/>
                <w:sz w:val="24"/>
                <w:szCs w:val="24"/>
              </w:rPr>
              <w:t>— не надав забезпечення тендерної пропозиції,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2) тендерна пропозиція:</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такою, строк дії якої закінчився;</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3) переможець процедури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забезпечення виконання договору про закупівлю, якщо таке забезпечення вимагалося замовником;</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може відхилити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w:t>
            </w:r>
            <w:r>
              <w:rPr>
                <w:rFonts w:ascii="Times New Roman" w:hAnsi="Times New Roman" w:eastAsia="Times New Roman" w:cs="Times New Roman"/>
                <w:b/>
                <w:i/>
                <w:sz w:val="24"/>
                <w:szCs w:val="24"/>
              </w:rPr>
              <w:t>у разі, коли:</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b/>
                <w:i/>
                <w:sz w:val="24"/>
                <w:szCs w:val="24"/>
              </w:rPr>
              <w:t xml:space="preserve">не пізніш як через чотири дні </w:t>
            </w:r>
            <w:r>
              <w:rPr>
                <w:rFonts w:ascii="Times New Roman" w:hAnsi="Times New Roman" w:eastAsia="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 xml:space="preserve">не може бути укладено раніше ніж через п’ять днів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Дії замовника при відмові переможця торгів підписати договір</w:t>
            </w:r>
          </w:p>
        </w:tc>
        <w:tc>
          <w:tcPr>
            <w:tcW w:w="6420" w:type="dxa"/>
            <w:vAlign w:val="center"/>
          </w:tcPr>
          <w:p>
            <w:pPr>
              <w:widowControl w:val="0"/>
              <w:spacing w:after="0" w:line="240" w:lineRule="auto"/>
              <w:jc w:val="both"/>
              <w:rPr>
                <w:rFonts w:ascii="Times New Roman" w:hAnsi="Times New Roman" w:eastAsia="Times New Roman" w:cs="Times New Roman"/>
                <w:color w:val="323232"/>
                <w:sz w:val="24"/>
                <w:szCs w:val="24"/>
              </w:rPr>
            </w:pPr>
            <w:r>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виконання договору про закупівлю не вимагається.</w:t>
            </w: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7" w:name="_heading=h.2s8eyo1" w:colFirst="0" w:colLast="0"/>
      <w:bookmarkEnd w:id="7"/>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Додатки: </w:t>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 xml:space="preserve">           1. Додаток 1 до тендерної документації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2. Додаток 2 до тендерної документації.</w:t>
      </w:r>
    </w:p>
    <w:p>
      <w:pPr>
        <w:spacing w:after="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3. Додаток 3 до тендерної документації </w:t>
      </w:r>
    </w:p>
    <w:p>
      <w:pPr>
        <w:spacing w:after="0"/>
        <w:rPr>
          <w:rFonts w:ascii="Times New Roman" w:hAnsi="Times New Roman" w:eastAsia="Times New Roman" w:cs="Times New Roman"/>
          <w:highlight w:val="white"/>
        </w:rPr>
      </w:pP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highlight w:val="white"/>
          <w:lang w:val="ru-RU"/>
        </w:rPr>
        <w:t>4</w:t>
      </w:r>
      <w:r>
        <w:rPr>
          <w:rFonts w:ascii="Times New Roman" w:hAnsi="Times New Roman" w:eastAsia="Times New Roman" w:cs="Times New Roman"/>
          <w:sz w:val="24"/>
          <w:szCs w:val="24"/>
          <w:highlight w:val="white"/>
        </w:rPr>
        <w:t>.</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Додаток 4 до тендерної документації</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5.</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Додаток 5 до тендерної документації</w:t>
      </w:r>
    </w:p>
    <w:p>
      <w:pPr>
        <w:widowControl w:val="0"/>
        <w:spacing w:after="0" w:line="240" w:lineRule="auto"/>
        <w:jc w:val="both"/>
        <w:rPr>
          <w:rFonts w:hint="default" w:ascii="Times New Roman" w:hAnsi="Times New Roman" w:eastAsia="Times New Roman" w:cs="Times New Roman"/>
          <w:sz w:val="24"/>
          <w:szCs w:val="24"/>
          <w:highlight w:val="white"/>
          <w:lang w:val="uk-UA"/>
        </w:rPr>
      </w:pPr>
      <w:r>
        <w:rPr>
          <w:rFonts w:hint="default" w:ascii="Times New Roman" w:hAnsi="Times New Roman" w:eastAsia="Times New Roman" w:cs="Times New Roman"/>
          <w:sz w:val="24"/>
          <w:szCs w:val="24"/>
          <w:highlight w:val="white"/>
          <w:lang w:val="uk-UA"/>
        </w:rPr>
        <w:t xml:space="preserve">                                               6. Додаток 6 до тендерної документації</w:t>
      </w:r>
    </w:p>
    <w:p>
      <w:pPr>
        <w:widowControl w:val="0"/>
        <w:spacing w:after="0" w:line="240" w:lineRule="auto"/>
        <w:jc w:val="both"/>
        <w:rPr>
          <w:rFonts w:hint="default" w:ascii="Times New Roman" w:hAnsi="Times New Roman" w:eastAsia="Times New Roman" w:cs="Times New Roman"/>
          <w:sz w:val="24"/>
          <w:szCs w:val="24"/>
          <w:highlight w:val="white"/>
          <w:lang w:val="uk-UA"/>
        </w:rPr>
      </w:pPr>
    </w:p>
    <w:p>
      <w:pPr>
        <w:widowControl w:val="0"/>
        <w:spacing w:after="0" w:line="240" w:lineRule="auto"/>
        <w:jc w:val="both"/>
        <w:rPr>
          <w:rFonts w:ascii="Times New Roman" w:hAnsi="Times New Roman" w:eastAsia="Times New Roman" w:cs="Times New Roman"/>
          <w:sz w:val="24"/>
          <w:szCs w:val="24"/>
          <w:highlight w:val="white"/>
        </w:rPr>
      </w:pPr>
    </w:p>
    <w:sectPr>
      <w:headerReference r:id="rId6" w:type="first"/>
      <w:footerReference r:id="rId8" w:type="first"/>
      <w:headerReference r:id="rId5" w:type="default"/>
      <w:footerReference r:id="rId7"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Georgia">
    <w:panose1 w:val="02040502050405020303"/>
    <w:charset w:val="CC"/>
    <w:family w:val="roman"/>
    <w:pitch w:val="default"/>
    <w:sig w:usb0="00000287" w:usb1="00000000" w:usb2="00000000" w:usb3="00000000" w:csb0="2000009F" w:csb1="00000000"/>
  </w:font>
  <w:font w:name="Antiqua">
    <w:altName w:val="Book Antiqua"/>
    <w:panose1 w:val="00000000000000000000"/>
    <w:charset w:val="00"/>
    <w:family w:val="roman"/>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 w:name="Liberation Serif">
    <w:altName w:val="Times New Roman"/>
    <w:panose1 w:val="00000000000000000000"/>
    <w:charset w:val="00"/>
    <w:family w:val="auto"/>
    <w:pitch w:val="default"/>
    <w:sig w:usb0="00000000" w:usb1="00000000" w:usb2="00000000" w:usb3="00000000" w:csb0="00000000" w:csb1="00000000"/>
  </w:font>
  <w:font w:name="Mangal">
    <w:panose1 w:val="02040503050203030202"/>
    <w:charset w:val="00"/>
    <w:family w:val="auto"/>
    <w:pitch w:val="default"/>
    <w:sig w:usb0="00008003" w:usb1="00000000" w:usb2="00000000" w:usb3="00000000" w:csb0="00000001" w:csb1="00000000"/>
  </w:font>
  <w:font w:name="Noto San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14</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E3816"/>
    <w:multiLevelType w:val="multilevel"/>
    <w:tmpl w:val="02DE3816"/>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A5B62A2"/>
    <w:multiLevelType w:val="multilevel"/>
    <w:tmpl w:val="3A5B62A2"/>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7FE4484"/>
    <w:multiLevelType w:val="multilevel"/>
    <w:tmpl w:val="67FE44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2D"/>
    <w:rsid w:val="00040FD9"/>
    <w:rsid w:val="000E3D97"/>
    <w:rsid w:val="00174396"/>
    <w:rsid w:val="001E63C2"/>
    <w:rsid w:val="00206868"/>
    <w:rsid w:val="00214301"/>
    <w:rsid w:val="00337DA9"/>
    <w:rsid w:val="00354601"/>
    <w:rsid w:val="004130A5"/>
    <w:rsid w:val="00457386"/>
    <w:rsid w:val="0048376B"/>
    <w:rsid w:val="004D3244"/>
    <w:rsid w:val="00505DCE"/>
    <w:rsid w:val="00510DE3"/>
    <w:rsid w:val="00536D78"/>
    <w:rsid w:val="00565FDE"/>
    <w:rsid w:val="005F1BBD"/>
    <w:rsid w:val="0060447D"/>
    <w:rsid w:val="0065612D"/>
    <w:rsid w:val="00663811"/>
    <w:rsid w:val="007F2457"/>
    <w:rsid w:val="009708F1"/>
    <w:rsid w:val="009F796B"/>
    <w:rsid w:val="00A06780"/>
    <w:rsid w:val="00A349CD"/>
    <w:rsid w:val="00AE09CE"/>
    <w:rsid w:val="00BD244B"/>
    <w:rsid w:val="00C01E66"/>
    <w:rsid w:val="00CB18FE"/>
    <w:rsid w:val="00D31CE7"/>
    <w:rsid w:val="00D70FBB"/>
    <w:rsid w:val="00E224A3"/>
    <w:rsid w:val="00EB2C25"/>
    <w:rsid w:val="00EF517B"/>
    <w:rsid w:val="00F339C0"/>
    <w:rsid w:val="00F36541"/>
    <w:rsid w:val="00F45FEC"/>
    <w:rsid w:val="00FC0C67"/>
    <w:rsid w:val="00FC57A2"/>
    <w:rsid w:val="1F477898"/>
    <w:rsid w:val="4519390C"/>
    <w:rsid w:val="4A064990"/>
    <w:rsid w:val="68436B9A"/>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Strong"/>
    <w:basedOn w:val="8"/>
    <w:qFormat/>
    <w:uiPriority w:val="0"/>
    <w:rPr>
      <w:b/>
      <w:bCs/>
    </w:rPr>
  </w:style>
  <w:style w:type="paragraph" w:styleId="12">
    <w:name w:val="Balloon Text"/>
    <w:basedOn w:val="1"/>
    <w:link w:val="20"/>
    <w:semiHidden/>
    <w:unhideWhenUsed/>
    <w:qFormat/>
    <w:uiPriority w:val="99"/>
    <w:pPr>
      <w:spacing w:after="0" w:line="240" w:lineRule="auto"/>
    </w:pPr>
    <w:rPr>
      <w:rFonts w:ascii="Segoe UI" w:hAnsi="Segoe UI" w:cs="Segoe UI"/>
      <w:sz w:val="18"/>
      <w:szCs w:val="18"/>
    </w:rPr>
  </w:style>
  <w:style w:type="paragraph" w:styleId="13">
    <w:name w:val="Title"/>
    <w:basedOn w:val="1"/>
    <w:next w:val="1"/>
    <w:qFormat/>
    <w:uiPriority w:val="10"/>
    <w:pPr>
      <w:keepNext/>
      <w:keepLines/>
      <w:spacing w:before="480" w:after="120"/>
    </w:pPr>
    <w:rPr>
      <w:b/>
      <w:sz w:val="72"/>
      <w:szCs w:val="72"/>
    </w:rPr>
  </w:style>
  <w:style w:type="paragraph" w:styleId="14">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5">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6">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
    <w:name w:val="Table Normal"/>
    <w:qFormat/>
    <w:uiPriority w:val="0"/>
    <w:tblPr>
      <w:tblCellMar>
        <w:top w:w="0" w:type="dxa"/>
        <w:left w:w="0" w:type="dxa"/>
        <w:bottom w:w="0" w:type="dxa"/>
        <w:right w:w="0" w:type="dxa"/>
      </w:tblCellMar>
    </w:tblPr>
  </w:style>
  <w:style w:type="paragraph" w:styleId="18">
    <w:name w:val="List Paragraph"/>
    <w:basedOn w:val="1"/>
    <w:qFormat/>
    <w:uiPriority w:val="34"/>
    <w:pPr>
      <w:ind w:left="720"/>
      <w:contextualSpacing/>
    </w:pPr>
  </w:style>
  <w:style w:type="character" w:customStyle="1" w:styleId="19">
    <w:name w:val="Unresolved Mention"/>
    <w:basedOn w:val="8"/>
    <w:semiHidden/>
    <w:unhideWhenUsed/>
    <w:qFormat/>
    <w:uiPriority w:val="99"/>
    <w:rPr>
      <w:color w:val="605E5C"/>
      <w:shd w:val="clear" w:color="auto" w:fill="E1DFDD"/>
    </w:rPr>
  </w:style>
  <w:style w:type="character" w:customStyle="1" w:styleId="20">
    <w:name w:val="Текст выноски Знак"/>
    <w:basedOn w:val="8"/>
    <w:link w:val="12"/>
    <w:semiHidden/>
    <w:qFormat/>
    <w:uiPriority w:val="99"/>
    <w:rPr>
      <w:rFonts w:ascii="Segoe UI" w:hAnsi="Segoe UI" w:cs="Segoe UI"/>
      <w:sz w:val="18"/>
      <w:szCs w:val="18"/>
    </w:rPr>
  </w:style>
  <w:style w:type="character" w:customStyle="1" w:styleId="21">
    <w:name w:val="qowt-font2-timesnewroman"/>
    <w:qFormat/>
    <w:uiPriority w:val="99"/>
    <w:rPr>
      <w:rFonts w:cs="Times New Roman"/>
    </w:rPr>
  </w:style>
  <w:style w:type="paragraph" w:customStyle="1" w:styleId="22">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3">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4">
    <w:name w:val="_Style 25"/>
    <w:basedOn w:val="17"/>
    <w:qFormat/>
    <w:uiPriority w:val="0"/>
    <w:pPr>
      <w:spacing w:after="0" w:line="240" w:lineRule="auto"/>
    </w:pPr>
    <w:tblPr>
      <w:tblCellMar>
        <w:top w:w="0" w:type="dxa"/>
        <w:left w:w="108" w:type="dxa"/>
        <w:bottom w:w="0" w:type="dxa"/>
        <w:right w:w="108" w:type="dxa"/>
      </w:tblCellMar>
    </w:tblPr>
  </w:style>
  <w:style w:type="table" w:customStyle="1" w:styleId="25">
    <w:name w:val="_Style 26"/>
    <w:basedOn w:val="17"/>
    <w:qFormat/>
    <w:uiPriority w:val="0"/>
    <w:pPr>
      <w:spacing w:after="0" w:line="240" w:lineRule="auto"/>
    </w:pPr>
    <w:tblPr>
      <w:tblCellMar>
        <w:top w:w="0" w:type="dxa"/>
        <w:left w:w="108" w:type="dxa"/>
        <w:bottom w:w="0" w:type="dxa"/>
        <w:right w:w="108" w:type="dxa"/>
      </w:tblCellMar>
    </w:tblPr>
  </w:style>
  <w:style w:type="table" w:customStyle="1" w:styleId="26">
    <w:name w:val="_Style 27"/>
    <w:basedOn w:val="17"/>
    <w:qFormat/>
    <w:uiPriority w:val="0"/>
    <w:pPr>
      <w:spacing w:after="0" w:line="240" w:lineRule="auto"/>
    </w:pPr>
    <w:tblPr>
      <w:tblCellMar>
        <w:top w:w="0" w:type="dxa"/>
        <w:left w:w="108" w:type="dxa"/>
        <w:bottom w:w="0" w:type="dxa"/>
        <w:right w:w="108" w:type="dxa"/>
      </w:tblCellMar>
    </w:tblPr>
  </w:style>
  <w:style w:type="paragraph" w:customStyle="1" w:styleId="27">
    <w:name w:val="Нормальний текст"/>
    <w:basedOn w:val="1"/>
    <w:qFormat/>
    <w:uiPriority w:val="0"/>
    <w:pPr>
      <w:spacing w:before="120" w:after="0" w:line="240" w:lineRule="auto"/>
      <w:ind w:firstLine="567"/>
    </w:pPr>
    <w:rPr>
      <w:rFonts w:ascii="Antiqua" w:hAnsi="Antiqua" w:eastAsia="Times New Roman" w:cs="Times New Roman"/>
      <w:sz w:val="26"/>
      <w:szCs w:val="20"/>
    </w:rPr>
  </w:style>
  <w:style w:type="table" w:customStyle="1" w:styleId="28">
    <w:name w:val="_Style 29"/>
    <w:basedOn w:val="17"/>
    <w:qFormat/>
    <w:uiPriority w:val="0"/>
    <w:pPr>
      <w:spacing w:after="0" w:line="240" w:lineRule="auto"/>
    </w:pPr>
    <w:tblPr>
      <w:tblCellMar>
        <w:top w:w="0" w:type="dxa"/>
        <w:left w:w="108" w:type="dxa"/>
        <w:bottom w:w="0" w:type="dxa"/>
        <w:right w:w="108" w:type="dxa"/>
      </w:tblCellMar>
    </w:tblPr>
  </w:style>
  <w:style w:type="paragraph" w:customStyle="1" w:styleId="29">
    <w:name w:val="Standard"/>
    <w:qFormat/>
    <w:uiPriority w:val="99"/>
    <w:pPr>
      <w:suppressAutoHyphens/>
      <w:autoSpaceDN w:val="0"/>
      <w:spacing w:after="200" w:line="276" w:lineRule="auto"/>
    </w:pPr>
    <w:rPr>
      <w:rFonts w:ascii="Calibri" w:hAnsi="Calibri" w:eastAsia="Calibri" w:cs="Calibri"/>
      <w:kern w:val="3"/>
      <w:sz w:val="22"/>
      <w:szCs w:val="22"/>
      <w:lang w:val="ru-RU" w:eastAsia="zh-CN" w:bidi="ar-SA"/>
    </w:rPr>
  </w:style>
  <w:style w:type="character" w:customStyle="1" w:styleId="30">
    <w:name w:val="Виділення1"/>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FAA39681-9CAB-4408-954E-729FA6618356}">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7980</Words>
  <Characters>45492</Characters>
  <Lines>379</Lines>
  <Paragraphs>106</Paragraphs>
  <TotalTime>5</TotalTime>
  <ScaleCrop>false</ScaleCrop>
  <LinksUpToDate>false</LinksUpToDate>
  <CharactersWithSpaces>53366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2023-03-08T09:08:00Z</dcterms:created>
  <dc:creator>userua12</dc:creator>
  <cp:lastModifiedBy>Юлія Щеглова</cp:lastModifiedBy>
  <dcterms:modified xsi:type="dcterms:W3CDTF">2023-03-15T06:35:12Z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3C7809BCD1684C08BCCEFE996066308B</vt:lpwstr>
  </property>
</Properties>
</file>