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ind w:left="0" w:leftChars="0" w:firstLine="0" w:firstLineChars="0"/>
        <w:jc w:val="center"/>
        <w:outlineLvl w:val="4"/>
        <w:rPr>
          <w:rFonts w:hint="default" w:ascii="Times New Roman" w:hAnsi="Times New Roman" w:eastAsia="Calibri" w:cs="Times New Roman"/>
          <w:b/>
          <w:sz w:val="24"/>
          <w:szCs w:val="24"/>
          <w:lang w:val="uk-UA" w:eastAsia="ru-RU" w:bidi="ar-SA"/>
        </w:rPr>
      </w:pPr>
      <w:r>
        <w:rPr>
          <w:rFonts w:hint="default" w:ascii="Times New Roman" w:hAnsi="Times New Roman" w:cs="Times New Roman"/>
          <w:b/>
          <w:sz w:val="40"/>
          <w:szCs w:val="40"/>
          <w:lang w:val="uk-UA" w:eastAsia="ru-RU" w:bidi="ar-SA"/>
        </w:rPr>
        <w:t xml:space="preserve">  </w:t>
      </w:r>
      <w:r>
        <w:rPr>
          <w:rFonts w:ascii="Times New Roman" w:hAnsi="Times New Roman" w:eastAsia="Calibri" w:cs="Times New Roman"/>
          <w:b/>
          <w:sz w:val="40"/>
          <w:szCs w:val="40"/>
          <w:lang w:val="uk-UA" w:eastAsia="ru-RU" w:bidi="ar-SA"/>
        </w:rPr>
        <w:t>ВІДДІЛ</w:t>
      </w:r>
      <w:r>
        <w:rPr>
          <w:rFonts w:hint="default" w:ascii="Times New Roman" w:hAnsi="Times New Roman" w:eastAsia="Calibri" w:cs="Times New Roman"/>
          <w:b/>
          <w:sz w:val="40"/>
          <w:szCs w:val="40"/>
          <w:lang w:val="uk-UA" w:eastAsia="ru-RU" w:bidi="ar-SA"/>
        </w:rPr>
        <w:t xml:space="preserve"> ОСВІТИ ЧЕРВОНОГРАДСЬКОЇ МІСЬКОЇ РАДИ</w:t>
      </w:r>
    </w:p>
    <w:p>
      <w:pPr>
        <w:spacing w:after="0" w:line="240" w:lineRule="auto"/>
        <w:rPr>
          <w:rFonts w:ascii="Times New Roman" w:hAnsi="Times New Roman" w:eastAsia="Calibri" w:cs="Times New Roman"/>
          <w:b/>
          <w:bCs/>
          <w:sz w:val="38"/>
          <w:szCs w:val="38"/>
          <w:lang w:eastAsia="ru-RU"/>
        </w:rPr>
      </w:pPr>
    </w:p>
    <w:tbl>
      <w:tblPr>
        <w:tblStyle w:val="9"/>
        <w:tblW w:w="0" w:type="auto"/>
        <w:tblInd w:w="504" w:type="dxa"/>
        <w:tblLayout w:type="fixed"/>
        <w:tblCellMar>
          <w:top w:w="0" w:type="dxa"/>
          <w:left w:w="108" w:type="dxa"/>
          <w:bottom w:w="0" w:type="dxa"/>
          <w:right w:w="108" w:type="dxa"/>
        </w:tblCellMar>
      </w:tblPr>
      <w:tblGrid>
        <w:gridCol w:w="3931"/>
        <w:gridCol w:w="5933"/>
      </w:tblGrid>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val="ru-RU" w:eastAsia="ru-RU"/>
              </w:rPr>
            </w:pPr>
            <w:r>
              <w:rPr>
                <w:rFonts w:ascii="Times New Roman" w:hAnsi="Times New Roman" w:eastAsia="Calibri" w:cs="Times New Roman"/>
                <w:b/>
                <w:bCs/>
                <w:sz w:val="24"/>
                <w:szCs w:val="24"/>
                <w:lang w:eastAsia="ru-RU"/>
              </w:rPr>
              <w:t xml:space="preserve">    </w:t>
            </w:r>
            <w:r>
              <w:rPr>
                <w:rFonts w:ascii="Times New Roman" w:hAnsi="Times New Roman" w:eastAsia="Calibri" w:cs="Times New Roman"/>
                <w:b/>
                <w:bCs/>
                <w:sz w:val="24"/>
                <w:szCs w:val="24"/>
                <w:lang w:val="ru-RU" w:eastAsia="ru-RU"/>
              </w:rPr>
              <w:t>"ЗАТВЕРДЖЕНО"</w:t>
            </w:r>
          </w:p>
          <w:p>
            <w:pPr>
              <w:snapToGrid w:val="0"/>
              <w:spacing w:after="0" w:line="240" w:lineRule="auto"/>
              <w:rPr>
                <w:rFonts w:ascii="Times New Roman" w:hAnsi="Times New Roman" w:eastAsia="Calibri" w:cs="Times New Roman"/>
                <w:bCs/>
                <w:sz w:val="24"/>
                <w:szCs w:val="24"/>
                <w:lang w:eastAsia="ru-RU"/>
              </w:rPr>
            </w:pPr>
            <w:r>
              <w:rPr>
                <w:rFonts w:ascii="Times New Roman" w:hAnsi="Times New Roman" w:eastAsia="Calibri" w:cs="Times New Roman"/>
                <w:bCs/>
                <w:sz w:val="24"/>
                <w:szCs w:val="24"/>
                <w:lang w:val="ru-RU" w:eastAsia="ru-RU"/>
              </w:rPr>
              <w:t xml:space="preserve">рішенням </w:t>
            </w:r>
            <w:r>
              <w:rPr>
                <w:rFonts w:ascii="Times New Roman" w:hAnsi="Times New Roman" w:eastAsia="Calibri" w:cs="Times New Roman"/>
                <w:bCs/>
                <w:sz w:val="24"/>
                <w:szCs w:val="24"/>
                <w:lang w:eastAsia="ru-RU"/>
              </w:rPr>
              <w:t xml:space="preserve">уповноваженої особи, згідно    </w:t>
            </w:r>
          </w:p>
          <w:p>
            <w:pPr>
              <w:snapToGrid w:val="0"/>
              <w:spacing w:after="0" w:line="240" w:lineRule="auto"/>
              <w:jc w:val="both"/>
              <w:rPr>
                <w:rFonts w:ascii="Times New Roman" w:hAnsi="Times New Roman" w:eastAsia="Calibri" w:cs="Times New Roman"/>
                <w:b/>
                <w:bCs/>
                <w:sz w:val="24"/>
                <w:szCs w:val="24"/>
                <w:lang w:val="ru-RU" w:eastAsia="ru-RU"/>
              </w:rPr>
            </w:pPr>
            <w:r>
              <w:rPr>
                <w:rFonts w:ascii="Times New Roman" w:hAnsi="Times New Roman" w:eastAsia="Calibri" w:cs="Times New Roman"/>
                <w:bCs/>
                <w:sz w:val="24"/>
                <w:szCs w:val="24"/>
                <w:lang w:eastAsia="ru-RU"/>
              </w:rPr>
              <w:t>протоколу</w:t>
            </w:r>
            <w:r>
              <w:rPr>
                <w:rFonts w:ascii="Times New Roman" w:hAnsi="Times New Roman" w:eastAsia="Calibri" w:cs="Times New Roman"/>
                <w:bCs/>
                <w:sz w:val="24"/>
                <w:szCs w:val="24"/>
                <w:lang w:val="ru-RU" w:eastAsia="ru-RU"/>
              </w:rPr>
              <w:t xml:space="preserve"> від «</w:t>
            </w:r>
            <w:r>
              <w:rPr>
                <w:rFonts w:hint="default" w:ascii="Times New Roman" w:hAnsi="Times New Roman" w:cs="Times New Roman"/>
                <w:bCs/>
                <w:sz w:val="24"/>
                <w:szCs w:val="24"/>
                <w:lang w:val="uk-UA" w:eastAsia="ru-RU"/>
              </w:rPr>
              <w:t>28</w:t>
            </w:r>
            <w:bookmarkStart w:id="8" w:name="_GoBack"/>
            <w:bookmarkEnd w:id="8"/>
            <w:r>
              <w:rPr>
                <w:rFonts w:ascii="Times New Roman" w:hAnsi="Times New Roman" w:eastAsia="Calibri" w:cs="Times New Roman"/>
                <w:sz w:val="24"/>
                <w:szCs w:val="24"/>
                <w:lang w:val="ru-RU" w:eastAsia="ru-RU"/>
              </w:rPr>
              <w:t xml:space="preserve">» </w:t>
            </w:r>
            <w:r>
              <w:rPr>
                <w:rFonts w:ascii="Times New Roman" w:hAnsi="Times New Roman" w:eastAsia="Calibri" w:cs="Times New Roman"/>
                <w:sz w:val="24"/>
                <w:szCs w:val="24"/>
                <w:lang w:val="uk-UA" w:eastAsia="ru-RU"/>
              </w:rPr>
              <w:t>березня</w:t>
            </w:r>
            <w:r>
              <w:rPr>
                <w:rFonts w:hint="default" w:ascii="Times New Roman" w:hAnsi="Times New Roman" w:eastAsia="Calibri" w:cs="Times New Roman"/>
                <w:sz w:val="24"/>
                <w:szCs w:val="24"/>
                <w:lang w:val="uk-UA" w:eastAsia="ru-RU"/>
              </w:rPr>
              <w:t xml:space="preserve"> 2023</w:t>
            </w:r>
            <w:r>
              <w:rPr>
                <w:rFonts w:ascii="Times New Roman" w:hAnsi="Times New Roman" w:eastAsia="Calibri" w:cs="Times New Roman"/>
                <w:sz w:val="24"/>
                <w:szCs w:val="24"/>
                <w:lang w:eastAsia="ru-RU"/>
              </w:rPr>
              <w:t xml:space="preserve"> року</w:t>
            </w:r>
          </w:p>
          <w:p>
            <w:pPr>
              <w:snapToGrid w:val="0"/>
              <w:spacing w:after="0" w:line="240" w:lineRule="auto"/>
              <w:rPr>
                <w:rFonts w:ascii="Times New Roman" w:hAnsi="Times New Roman" w:eastAsia="Calibri" w:cs="Times New Roman"/>
                <w:b/>
                <w:bCs/>
                <w:sz w:val="24"/>
                <w:szCs w:val="24"/>
                <w:lang w:val="ru-RU" w:eastAsia="ru-RU"/>
              </w:rPr>
            </w:pP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jc w:val="center"/>
              <w:rPr>
                <w:rFonts w:ascii="Times New Roman" w:hAnsi="Times New Roman" w:eastAsia="Calibri" w:cs="Times New Roman"/>
                <w:b/>
                <w:bCs/>
                <w:sz w:val="24"/>
                <w:szCs w:val="24"/>
                <w:lang w:val="ru-RU" w:eastAsia="ru-RU"/>
              </w:rPr>
            </w:pPr>
            <w:r>
              <w:rPr>
                <w:rFonts w:hint="default" w:ascii="Times New Roman" w:hAnsi="Times New Roman" w:eastAsia="Calibri" w:cs="Times New Roman"/>
                <w:b/>
                <w:sz w:val="24"/>
                <w:szCs w:val="24"/>
                <w:lang w:val="en-US" w:eastAsia="uk-UA"/>
              </w:rPr>
              <w:t>Юлія Щеглова</w:t>
            </w: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ru-RU" w:eastAsia="ru-RU"/>
              </w:rPr>
              <w:t xml:space="preserve"> </w:t>
            </w:r>
            <w:r>
              <w:rPr>
                <w:rFonts w:ascii="Times New Roman" w:hAnsi="Times New Roman" w:eastAsia="Calibri" w:cs="Times New Roman"/>
                <w:b/>
                <w:bCs/>
                <w:sz w:val="24"/>
                <w:szCs w:val="24"/>
                <w:lang w:eastAsia="ru-RU"/>
              </w:rPr>
              <w:t xml:space="preserve">_____________________ </w:t>
            </w: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4"/>
                <w:szCs w:val="24"/>
                <w:lang w:eastAsia="ru-RU"/>
              </w:rPr>
            </w:pPr>
          </w:p>
        </w:tc>
        <w:tc>
          <w:tcPr>
            <w:tcW w:w="5933" w:type="dxa"/>
            <w:noWrap w:val="0"/>
            <w:vAlign w:val="top"/>
          </w:tcPr>
          <w:p>
            <w:pPr>
              <w:snapToGri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tc>
      </w:tr>
    </w:tbl>
    <w:p>
      <w:pPr>
        <w:spacing w:after="0" w:line="240" w:lineRule="auto"/>
        <w:ind w:left="320"/>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bCs/>
          <w:sz w:val="36"/>
          <w:szCs w:val="36"/>
          <w:lang w:eastAsia="ru-RU"/>
        </w:rPr>
      </w:pPr>
      <w:r>
        <w:rPr>
          <w:rFonts w:ascii="Times New Roman" w:hAnsi="Times New Roman" w:eastAsia="Calibri" w:cs="Times New Roman"/>
          <w:b/>
          <w:bCs/>
          <w:sz w:val="36"/>
          <w:szCs w:val="36"/>
          <w:lang w:eastAsia="ru-RU"/>
        </w:rPr>
        <w:t>Тендерна документація</w:t>
      </w:r>
    </w:p>
    <w:p>
      <w:pPr>
        <w:spacing w:after="0" w:line="240" w:lineRule="auto"/>
        <w:jc w:val="both"/>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предмет закупівлі:</w:t>
      </w:r>
      <w:r>
        <w:rPr>
          <w:rFonts w:ascii="Times New Roman" w:hAnsi="Times New Roman" w:eastAsia="Calibri" w:cs="Times New Roman"/>
          <w:b/>
          <w:sz w:val="28"/>
          <w:szCs w:val="28"/>
          <w:lang w:eastAsia="ru-RU"/>
        </w:rPr>
        <w:t xml:space="preserve"> </w:t>
      </w:r>
    </w:p>
    <w:p>
      <w:pPr>
        <w:spacing w:after="0" w:line="240" w:lineRule="auto"/>
        <w:jc w:val="center"/>
        <w:rPr>
          <w:rFonts w:ascii="Times New Roman" w:hAnsi="Times New Roman" w:eastAsia="Calibri" w:cs="Times New Roman"/>
          <w:b/>
          <w:sz w:val="28"/>
          <w:szCs w:val="28"/>
          <w:lang w:eastAsia="ru-RU"/>
        </w:rPr>
      </w:pPr>
    </w:p>
    <w:p>
      <w:pPr>
        <w:spacing w:after="0" w:line="240" w:lineRule="auto"/>
        <w:jc w:val="center"/>
        <w:rPr>
          <w:rFonts w:ascii="Times New Roman" w:hAnsi="Times New Roman" w:eastAsia="Calibri" w:cs="Times New Roman"/>
          <w:b/>
          <w:i/>
          <w:sz w:val="28"/>
          <w:szCs w:val="28"/>
          <w:lang w:val="ru-RU" w:eastAsia="ru-RU"/>
        </w:rPr>
      </w:pPr>
      <w:r>
        <w:rPr>
          <w:rFonts w:ascii="Times New Roman" w:hAnsi="Times New Roman" w:eastAsia="Calibri" w:cs="Times New Roman"/>
          <w:b/>
          <w:sz w:val="24"/>
          <w:szCs w:val="24"/>
          <w:lang w:eastAsia="ru-RU"/>
        </w:rPr>
        <w:t xml:space="preserve">  </w:t>
      </w:r>
    </w:p>
    <w:p>
      <w:pPr>
        <w:keepNext w:val="0"/>
        <w:keepLines w:val="0"/>
        <w:widowControl/>
        <w:suppressLineNumbers w:val="0"/>
        <w:suppressAutoHyphens/>
        <w:autoSpaceDE/>
        <w:autoSpaceDN w:val="0"/>
        <w:spacing w:before="0" w:beforeAutospacing="0" w:after="0" w:afterAutospacing="0"/>
        <w:ind w:left="0" w:right="0"/>
        <w:jc w:val="center"/>
        <w:rPr>
          <w:rFonts w:hint="default" w:ascii="Liberation Serif" w:hAnsi="Liberation Serif" w:eastAsia="SimSun" w:cs="Mangal"/>
          <w:color w:val="auto"/>
          <w:kern w:val="2"/>
          <w:sz w:val="28"/>
          <w:szCs w:val="28"/>
          <w:lang w:val="en-US" w:eastAsia="zh-CN" w:bidi="ar"/>
        </w:rPr>
      </w:pPr>
      <w:r>
        <w:rPr>
          <w:rFonts w:hint="default" w:ascii="Times New Roman" w:hAnsi="Times New Roman" w:eastAsia="Calibri" w:cs="Times New Roman"/>
          <w:color w:val="auto"/>
          <w:kern w:val="2"/>
          <w:sz w:val="28"/>
          <w:szCs w:val="28"/>
          <w:lang w:val="ru-RU" w:eastAsia="ru-RU" w:bidi="ar"/>
        </w:rPr>
        <w:t>Єдиний закупівельний словник ДК 021:2015:</w:t>
      </w:r>
      <w:r>
        <w:rPr>
          <w:rFonts w:hint="default" w:ascii="Times New Roman" w:hAnsi="Times New Roman" w:eastAsia="SimSun" w:cs="Times New Roman"/>
          <w:color w:val="auto"/>
          <w:kern w:val="2"/>
          <w:sz w:val="28"/>
          <w:szCs w:val="28"/>
          <w:lang w:val="uk" w:eastAsia="zh-CN" w:bidi="ar"/>
        </w:rPr>
        <w:t xml:space="preserve"> </w:t>
      </w:r>
      <w:r>
        <w:rPr>
          <w:rFonts w:hint="default" w:ascii="Times New Roman" w:hAnsi="Times New Roman" w:eastAsia="SimSun" w:cs="Times New Roman"/>
          <w:color w:val="000000"/>
          <w:kern w:val="2"/>
          <w:sz w:val="28"/>
          <w:szCs w:val="28"/>
          <w:shd w:val="clear" w:fill="FFFFFF"/>
          <w:lang w:val="uk" w:eastAsia="ar" w:bidi="ar"/>
        </w:rPr>
        <w:t>37530000-2 Вироби для парків розваг,</w:t>
      </w:r>
    </w:p>
    <w:p>
      <w:pPr>
        <w:keepNext w:val="0"/>
        <w:keepLines w:val="0"/>
        <w:widowControl/>
        <w:suppressLineNumbers w:val="0"/>
        <w:suppressAutoHyphens/>
        <w:autoSpaceDE/>
        <w:autoSpaceDN w:val="0"/>
        <w:spacing w:before="0" w:beforeAutospacing="0" w:after="0" w:afterAutospacing="0" w:line="240" w:lineRule="auto"/>
        <w:ind w:left="0" w:right="0"/>
        <w:jc w:val="center"/>
        <w:rPr>
          <w:rFonts w:hint="default" w:ascii="Times New Roman" w:hAnsi="Times New Roman" w:eastAsia="SimSun" w:cs="Times New Roman"/>
          <w:color w:val="000000"/>
          <w:kern w:val="2"/>
          <w:sz w:val="24"/>
          <w:szCs w:val="24"/>
          <w:shd w:val="clear" w:fill="FFFFFF"/>
          <w:lang w:val="uk" w:eastAsia="ar" w:bidi="ar"/>
        </w:rPr>
      </w:pPr>
      <w:r>
        <w:rPr>
          <w:rFonts w:hint="default" w:ascii="Times New Roman" w:hAnsi="Times New Roman" w:eastAsia="SimSun" w:cs="Times New Roman"/>
          <w:color w:val="000000"/>
          <w:kern w:val="2"/>
          <w:sz w:val="28"/>
          <w:szCs w:val="28"/>
          <w:shd w:val="clear" w:fill="FFFFFF"/>
          <w:lang w:val="uk" w:eastAsia="ar" w:bidi="ar"/>
        </w:rPr>
        <w:t>настільних або кімнатних ігор</w:t>
      </w:r>
    </w:p>
    <w:p>
      <w:pPr>
        <w:spacing w:after="0" w:line="240" w:lineRule="auto"/>
        <w:jc w:val="center"/>
        <w:rPr>
          <w:rFonts w:ascii="Times New Roman" w:hAnsi="Times New Roman" w:eastAsia="Calibri" w:cs="Times New Roman"/>
          <w:i/>
          <w:sz w:val="24"/>
          <w:szCs w:val="24"/>
          <w:u w:val="single"/>
          <w:lang w:val="uk-UA" w:eastAsia="ru-RU"/>
        </w:rPr>
      </w:pPr>
      <w:r>
        <w:rPr>
          <w:rFonts w:ascii="Times New Roman" w:hAnsi="Times New Roman" w:eastAsia="Calibri" w:cs="Times New Roman"/>
          <w:b/>
          <w:i/>
          <w:sz w:val="28"/>
          <w:szCs w:val="28"/>
          <w:lang w:val="uk-UA" w:eastAsia="ru-RU"/>
        </w:rPr>
        <w:t xml:space="preserve">  </w:t>
      </w:r>
      <w:r>
        <w:rPr>
          <w:rFonts w:ascii="Times New Roman" w:hAnsi="Times New Roman" w:eastAsia="Calibri" w:cs="Times New Roman"/>
          <w:b/>
          <w:i/>
          <w:sz w:val="24"/>
          <w:szCs w:val="24"/>
          <w:lang w:val="uk-UA" w:eastAsia="ru-RU"/>
        </w:rPr>
        <w:t xml:space="preserve">                                                           </w:t>
      </w:r>
    </w:p>
    <w:p>
      <w:pPr>
        <w:spacing w:after="0" w:line="240" w:lineRule="auto"/>
        <w:jc w:val="center"/>
        <w:rPr>
          <w:rFonts w:hint="default" w:ascii="Times New Roman" w:hAnsi="Times New Roman" w:eastAsia="Calibri" w:cs="Times New Roman"/>
          <w:b/>
          <w:bCs/>
          <w:sz w:val="32"/>
          <w:szCs w:val="32"/>
          <w:lang w:val="uk-UA" w:eastAsia="ru-RU"/>
        </w:rPr>
      </w:pPr>
      <w:r>
        <w:rPr>
          <w:rFonts w:ascii="Times New Roman" w:hAnsi="Times New Roman" w:eastAsia="Calibri" w:cs="Times New Roman"/>
          <w:b/>
          <w:bCs/>
          <w:sz w:val="32"/>
          <w:szCs w:val="32"/>
          <w:lang w:val="uk-UA" w:eastAsia="ru-RU"/>
        </w:rPr>
        <w:t>Обладнання</w:t>
      </w:r>
      <w:r>
        <w:rPr>
          <w:rFonts w:hint="default" w:ascii="Times New Roman" w:hAnsi="Times New Roman" w:eastAsia="Calibri" w:cs="Times New Roman"/>
          <w:b/>
          <w:bCs/>
          <w:sz w:val="32"/>
          <w:szCs w:val="32"/>
          <w:lang w:val="uk-UA" w:eastAsia="ru-RU"/>
        </w:rPr>
        <w:t xml:space="preserve"> для дитячого ігрового майданчика</w:t>
      </w:r>
    </w:p>
    <w:p>
      <w:pPr>
        <w:spacing w:after="0" w:line="240" w:lineRule="auto"/>
        <w:jc w:val="center"/>
        <w:rPr>
          <w:rFonts w:ascii="Times New Roman" w:hAnsi="Times New Roman" w:eastAsia="Calibri" w:cs="Times New Roman"/>
          <w:b/>
          <w:bCs/>
          <w:sz w:val="32"/>
          <w:szCs w:val="32"/>
          <w:lang w:eastAsia="ru-RU"/>
        </w:rPr>
      </w:pPr>
    </w:p>
    <w:p>
      <w:pPr>
        <w:spacing w:after="0" w:line="240" w:lineRule="auto"/>
        <w:jc w:val="center"/>
        <w:rPr>
          <w:rFonts w:ascii="Times New Roman" w:hAnsi="Times New Roman" w:eastAsia="Calibri" w:cs="Times New Roman"/>
          <w:sz w:val="32"/>
          <w:szCs w:val="32"/>
          <w:lang w:eastAsia="ru-RU"/>
        </w:rPr>
      </w:pPr>
    </w:p>
    <w:p>
      <w:pPr>
        <w:spacing w:after="0" w:line="240" w:lineRule="auto"/>
        <w:jc w:val="center"/>
        <w:rPr>
          <w:rFonts w:ascii="Times New Roman" w:hAnsi="Times New Roman" w:eastAsia="Calibri" w:cs="Times New Roman"/>
          <w:b/>
          <w:sz w:val="32"/>
          <w:szCs w:val="32"/>
          <w:lang w:eastAsia="ru-RU"/>
        </w:rPr>
      </w:pPr>
      <w:r>
        <w:rPr>
          <w:rFonts w:ascii="Times New Roman" w:hAnsi="Times New Roman" w:eastAsia="Calibri" w:cs="Times New Roman"/>
          <w:sz w:val="32"/>
          <w:szCs w:val="32"/>
          <w:lang w:eastAsia="ru-RU"/>
        </w:rPr>
        <w:t xml:space="preserve">процедура закупівлі - </w:t>
      </w:r>
      <w:r>
        <w:rPr>
          <w:rFonts w:ascii="Times New Roman" w:hAnsi="Times New Roman" w:eastAsia="Calibri" w:cs="Times New Roman"/>
          <w:b/>
          <w:sz w:val="32"/>
          <w:szCs w:val="32"/>
          <w:lang w:eastAsia="ru-RU"/>
        </w:rPr>
        <w:t>відкриті торги з особливостями</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ind w:left="-720"/>
        <w:jc w:val="center"/>
        <w:rPr>
          <w:rFonts w:hint="default" w:ascii="Times New Roman" w:hAnsi="Times New Roman" w:eastAsia="Calibri" w:cs="Times New Roman"/>
          <w:b/>
          <w:sz w:val="28"/>
          <w:szCs w:val="28"/>
          <w:lang w:val="uk-UA" w:eastAsia="ru-RU"/>
        </w:rPr>
      </w:pPr>
      <w:r>
        <w:rPr>
          <w:rFonts w:ascii="Times New Roman" w:hAnsi="Times New Roman" w:eastAsia="Calibri" w:cs="Times New Roman"/>
          <w:b/>
          <w:sz w:val="28"/>
          <w:szCs w:val="28"/>
          <w:lang w:val="uk-UA" w:eastAsia="ru-RU"/>
        </w:rPr>
        <w:t>Червоноград</w:t>
      </w:r>
      <w:r>
        <w:rPr>
          <w:rFonts w:ascii="Times New Roman" w:hAnsi="Times New Roman" w:eastAsia="Calibri" w:cs="Times New Roman"/>
          <w:b/>
          <w:sz w:val="28"/>
          <w:szCs w:val="28"/>
          <w:lang w:eastAsia="ru-RU"/>
        </w:rPr>
        <w:t>-202</w:t>
      </w:r>
      <w:r>
        <w:rPr>
          <w:rFonts w:hint="default" w:ascii="Times New Roman" w:hAnsi="Times New Roman" w:eastAsia="Calibri" w:cs="Times New Roman"/>
          <w:b/>
          <w:sz w:val="28"/>
          <w:szCs w:val="28"/>
          <w:lang w:val="uk-UA" w:eastAsia="ru-RU"/>
        </w:rPr>
        <w:t>3</w:t>
      </w:r>
    </w:p>
    <w:p>
      <w:pPr>
        <w:spacing w:before="240" w:after="0" w:line="240" w:lineRule="auto"/>
        <w:jc w:val="center"/>
        <w:rPr>
          <w:rFonts w:ascii="Times New Roman" w:hAnsi="Times New Roman" w:eastAsia="Times New Roman" w:cs="Times New Roman"/>
          <w:sz w:val="32"/>
          <w:szCs w:val="32"/>
        </w:rPr>
      </w:pPr>
    </w:p>
    <w:tbl>
      <w:tblPr>
        <w:tblStyle w:val="28"/>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                                               </w:t>
            </w:r>
            <w:bookmarkStart w:id="0" w:name="_heading=h.1fob9te" w:colFirst="0" w:colLast="0"/>
            <w:bookmarkEnd w:id="0"/>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cs="Times New Roman"/>
                <w:b/>
                <w:sz w:val="24"/>
                <w:szCs w:val="24"/>
                <w:lang w:val="uk-UA"/>
              </w:rPr>
              <w:t>Відділ освіти Червоноградської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b/>
                <w:sz w:val="24"/>
                <w:szCs w:val="24"/>
                <w:highlight w:val="cyan"/>
              </w:rPr>
            </w:pPr>
            <w:r>
              <w:rPr>
                <w:rFonts w:hint="default" w:ascii="Times New Roman" w:hAnsi="Times New Roman" w:cs="Times New Roman"/>
                <w:b/>
                <w:sz w:val="24"/>
                <w:szCs w:val="24"/>
                <w:lang w:val="uk-UA"/>
              </w:rPr>
              <w:t>М. Червоноград, проспект Шевченка,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Щеглова Юлія Петрівна</w:t>
            </w:r>
          </w:p>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Бухгалтер ІІ категорії, уповноважена особа</w:t>
            </w:r>
          </w:p>
          <w:p>
            <w:pPr>
              <w:rPr>
                <w:rFonts w:hint="default" w:ascii="Times New Roman" w:hAnsi="Times New Roman" w:cs="Times New Roman"/>
                <w:sz w:val="24"/>
                <w:szCs w:val="24"/>
                <w:lang w:val="en-US" w:eastAsia="uk-UA"/>
              </w:rPr>
            </w:pPr>
            <w:r>
              <w:rPr>
                <w:rFonts w:hint="default" w:ascii="Times New Roman" w:hAnsi="Times New Roman" w:cs="Times New Roman"/>
                <w:sz w:val="24"/>
                <w:szCs w:val="24"/>
                <w:lang w:val="uk-UA" w:eastAsia="uk-UA"/>
              </w:rPr>
              <w:t>Тел</w:t>
            </w:r>
            <w:r>
              <w:rPr>
                <w:rFonts w:hint="default" w:ascii="Times New Roman" w:hAnsi="Times New Roman" w:cs="Times New Roman"/>
                <w:sz w:val="24"/>
                <w:szCs w:val="24"/>
                <w:lang w:val="en-US" w:eastAsia="uk-UA"/>
              </w:rPr>
              <w:t>.(097)8609327</w:t>
            </w:r>
          </w:p>
          <w:p>
            <w:pPr>
              <w:spacing w:after="0" w:line="240" w:lineRule="auto"/>
              <w:jc w:val="both"/>
              <w:rPr>
                <w:rFonts w:ascii="Times New Roman" w:hAnsi="Times New Roman" w:eastAsia="Times New Roman" w:cs="Times New Roman"/>
                <w:b/>
                <w:i/>
                <w:color w:val="FF0000"/>
                <w:sz w:val="24"/>
                <w:szCs w:val="24"/>
                <w:highlight w:val="yellow"/>
              </w:rPr>
            </w:pPr>
            <w:r>
              <w:rPr>
                <w:rFonts w:hint="default" w:ascii="Times New Roman" w:hAnsi="Times New Roman" w:cs="Times New Roman"/>
                <w:sz w:val="24"/>
                <w:szCs w:val="24"/>
                <w:lang w:val="en-US" w:eastAsia="uk-UA"/>
              </w:rPr>
              <w:t>Julia90pavluk@ukr.net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center"/>
              <w:rPr>
                <w:rFonts w:ascii="Times New Roman" w:hAnsi="Times New Roman" w:cs="Times New Roman"/>
                <w:b/>
                <w:bCs/>
                <w:sz w:val="24"/>
                <w:szCs w:val="24"/>
              </w:rPr>
            </w:pPr>
          </w:p>
          <w:p>
            <w:pPr>
              <w:spacing w:after="0" w:line="240" w:lineRule="auto"/>
              <w:jc w:val="center"/>
              <w:rPr>
                <w:rStyle w:val="11"/>
                <w:rFonts w:hint="default" w:ascii="Times New Roman" w:hAnsi="Times New Roman" w:eastAsia="Liberation Serif" w:cs="Times New Roman"/>
                <w:b w:val="0"/>
                <w:bCs/>
                <w:i w:val="0"/>
                <w:iCs w:val="0"/>
                <w:sz w:val="24"/>
                <w:szCs w:val="24"/>
                <w:lang w:val="uk" w:eastAsia="ar" w:bidi="ar"/>
              </w:rPr>
            </w:pPr>
            <w:r>
              <w:rPr>
                <w:rStyle w:val="11"/>
                <w:rFonts w:hint="default" w:ascii="Times New Roman" w:hAnsi="Times New Roman" w:eastAsia="Liberation Serif" w:cs="Times New Roman"/>
                <w:b w:val="0"/>
                <w:bCs/>
                <w:i w:val="0"/>
                <w:iCs w:val="0"/>
                <w:sz w:val="24"/>
                <w:szCs w:val="24"/>
                <w:lang w:val="uk" w:eastAsia="ar" w:bidi="ar"/>
              </w:rPr>
              <w:t xml:space="preserve">Придбання та встановлення </w:t>
            </w:r>
          </w:p>
          <w:p>
            <w:pPr>
              <w:spacing w:after="0" w:line="240" w:lineRule="auto"/>
              <w:jc w:val="center"/>
              <w:rPr>
                <w:rFonts w:hint="default" w:ascii="Times New Roman" w:hAnsi="Times New Roman" w:eastAsia="Times New Roman" w:cs="Times New Roman"/>
                <w:b/>
                <w:bCs/>
                <w:i w:val="0"/>
                <w:iCs w:val="0"/>
                <w:color w:val="000000"/>
                <w:kern w:val="0"/>
                <w:sz w:val="24"/>
                <w:szCs w:val="24"/>
                <w:shd w:val="clear" w:fill="FFFFFF"/>
                <w:lang w:val="uk" w:eastAsia="ar" w:bidi="ar"/>
              </w:rPr>
            </w:pPr>
            <w:r>
              <w:rPr>
                <w:rFonts w:hint="default" w:ascii="Times New Roman" w:hAnsi="Times New Roman" w:eastAsia="Calibri" w:cs="Times New Roman"/>
                <w:b w:val="0"/>
                <w:bCs w:val="0"/>
                <w:i w:val="0"/>
                <w:iCs w:val="0"/>
                <w:sz w:val="24"/>
                <w:szCs w:val="24"/>
                <w:lang w:val="uk-UA" w:eastAsia="ru-RU"/>
              </w:rPr>
              <w:t>Обладнання для дитячого ігрового майданчика</w:t>
            </w:r>
          </w:p>
          <w:p>
            <w:pPr>
              <w:spacing w:after="0" w:line="240" w:lineRule="auto"/>
              <w:jc w:val="both"/>
              <w:rPr>
                <w:rFonts w:ascii="Times New Roman" w:hAnsi="Times New Roman" w:eastAsia="Times New Roman" w:cs="Times New Roman"/>
                <w:i/>
                <w:sz w:val="24"/>
                <w:szCs w:val="24"/>
              </w:rPr>
            </w:pPr>
            <w:r>
              <w:rPr>
                <w:rStyle w:val="11"/>
                <w:rFonts w:hint="default" w:ascii="Times New Roman" w:hAnsi="Times New Roman" w:eastAsia="Liberation Serif" w:cs="Times New Roman"/>
                <w:b w:val="0"/>
                <w:bCs/>
                <w:i w:val="0"/>
                <w:iCs w:val="0"/>
                <w:sz w:val="24"/>
                <w:szCs w:val="24"/>
                <w:lang w:val="uk" w:eastAsia="ar" w:bidi="ar"/>
              </w:rPr>
              <w:t xml:space="preserve"> </w:t>
            </w:r>
            <w:r>
              <w:rPr>
                <w:rStyle w:val="30"/>
                <w:rFonts w:hint="default" w:ascii="Times New Roman" w:hAnsi="Times New Roman" w:cs="Times New Roman"/>
                <w:i w:val="0"/>
                <w:iCs w:val="0"/>
                <w:sz w:val="24"/>
                <w:szCs w:val="24"/>
                <w:lang w:val="uk" w:eastAsia="ar" w:bidi="ar"/>
              </w:rPr>
              <w:t xml:space="preserve">згідно </w:t>
            </w:r>
            <w:bookmarkStart w:id="1" w:name="_Hlk427252801"/>
            <w:r>
              <w:rPr>
                <w:rStyle w:val="30"/>
                <w:rFonts w:hint="default" w:ascii="Times New Roman" w:hAnsi="Times New Roman" w:cs="Times New Roman"/>
                <w:i w:val="0"/>
                <w:iCs w:val="0"/>
                <w:sz w:val="24"/>
                <w:szCs w:val="24"/>
                <w:lang w:val="uk" w:eastAsia="ar" w:bidi="ar"/>
              </w:rPr>
              <w:t xml:space="preserve">коду </w:t>
            </w:r>
            <w:r>
              <w:rPr>
                <w:rStyle w:val="11"/>
                <w:rFonts w:hint="default" w:ascii="Times New Roman" w:hAnsi="Times New Roman" w:eastAsia="Liberation Serif" w:cs="Times New Roman"/>
                <w:i w:val="0"/>
                <w:iCs w:val="0"/>
                <w:sz w:val="24"/>
                <w:szCs w:val="24"/>
                <w:lang w:val="uk" w:eastAsia="ar" w:bidi="ar"/>
              </w:rPr>
              <w:t>ДК 021:2015:37530000-2 Вироби для парків розваг, настільних або кімнатних ігор</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 xml:space="preserve">кількість товару та місце його поставки </w:t>
            </w:r>
          </w:p>
        </w:tc>
        <w:tc>
          <w:tcPr>
            <w:tcW w:w="6420" w:type="dxa"/>
          </w:tcPr>
          <w:p>
            <w:pPr>
              <w:widowControl w:val="0"/>
              <w:spacing w:after="0" w:line="240" w:lineRule="auto"/>
              <w:ind w:right="120"/>
              <w:jc w:val="both"/>
              <w:rPr>
                <w:rFonts w:ascii="Times New Roman" w:hAnsi="Times New Roman" w:eastAsia="Times New Roman" w:cs="Times New Roman"/>
                <w:i/>
                <w:color w:val="4A86E8"/>
                <w:sz w:val="24"/>
                <w:szCs w:val="24"/>
              </w:rPr>
            </w:pPr>
            <w:r>
              <w:rPr>
                <w:rFonts w:ascii="Times New Roman" w:hAnsi="Times New Roman" w:eastAsia="Times New Roman" w:cs="Times New Roman"/>
                <w:color w:val="000000"/>
                <w:sz w:val="24"/>
                <w:szCs w:val="24"/>
              </w:rPr>
              <w:t>Кількість</w:t>
            </w:r>
            <w:r>
              <w:rPr>
                <w:rFonts w:hint="default" w:ascii="Times New Roman" w:hAnsi="Times New Roman" w:eastAsia="Times New Roman" w:cs="Times New Roman"/>
                <w:color w:val="000000"/>
                <w:sz w:val="24"/>
                <w:szCs w:val="24"/>
                <w:lang w:val="uk-UA"/>
              </w:rPr>
              <w:t xml:space="preserve"> та </w:t>
            </w:r>
            <w:r>
              <w:rPr>
                <w:rFonts w:ascii="Times New Roman" w:hAnsi="Times New Roman" w:eastAsia="Times New Roman" w:cs="Times New Roman"/>
                <w:color w:val="000000"/>
                <w:sz w:val="24"/>
                <w:szCs w:val="24"/>
              </w:rPr>
              <w:t xml:space="preserve">Місце поставки товарів:  за адресами навчальних закладів, підпорядкованих Замовнику. Додаток 5 </w:t>
            </w:r>
          </w:p>
          <w:p>
            <w:pPr>
              <w:widowControl w:val="0"/>
              <w:spacing w:after="0" w:line="240" w:lineRule="auto"/>
              <w:ind w:right="120"/>
              <w:jc w:val="both"/>
              <w:rPr>
                <w:rFonts w:ascii="Times New Roman" w:hAnsi="Times New Roman" w:eastAsia="Times New Roman" w:cs="Times New Roman"/>
                <w:i/>
                <w:color w:val="4A86E8"/>
                <w:sz w:val="24"/>
                <w:szCs w:val="24"/>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до </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3</w:t>
            </w:r>
            <w:r>
              <w:rPr>
                <w:rFonts w:hint="default" w:ascii="Times New Roman" w:hAnsi="Times New Roman" w:eastAsia="Times New Roman" w:cs="Times New Roman"/>
                <w:sz w:val="24"/>
                <w:szCs w:val="24"/>
                <w:lang w:val="uk-UA"/>
              </w:rPr>
              <w:t>1 .08.</w:t>
            </w:r>
            <w:r>
              <w:rPr>
                <w:rFonts w:ascii="Times New Roman" w:hAnsi="Times New Roman" w:eastAsia="Times New Roman" w:cs="Times New Roman"/>
                <w:sz w:val="24"/>
                <w:szCs w:val="24"/>
              </w:rPr>
              <w:t xml:space="preserve">  2023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Валютою тендерної пропозиції є гривня.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44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Цінову</w:t>
            </w:r>
            <w:r>
              <w:rPr>
                <w:rFonts w:hint="default" w:ascii="Times New Roman" w:hAnsi="Times New Roman" w:eastAsia="Times New Roman" w:cs="Times New Roman"/>
                <w:sz w:val="24"/>
                <w:szCs w:val="24"/>
                <w:lang w:val="uk-UA"/>
              </w:rPr>
              <w:t xml:space="preserve"> пропозицію згідно з </w:t>
            </w:r>
            <w:r>
              <w:rPr>
                <w:rFonts w:hint="default" w:ascii="Times New Roman" w:hAnsi="Times New Roman" w:eastAsia="Times New Roman" w:cs="Times New Roman"/>
                <w:b/>
                <w:bCs/>
                <w:i/>
                <w:iCs/>
                <w:sz w:val="24"/>
                <w:szCs w:val="24"/>
                <w:lang w:val="uk-UA"/>
              </w:rPr>
              <w:t>Додатком 6</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2" w:name="_heading=h.3znysh7" w:colFirst="0" w:colLast="0"/>
            <w:bookmarkEnd w:id="2"/>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3" w:name="_heading=h.2et92p0" w:colFirst="0" w:colLast="0"/>
            <w:bookmarkEnd w:id="3"/>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bookmarkStart w:id="4" w:name="_heading=h.hjqm8skarbdr" w:colFirst="0" w:colLast="0"/>
            <w:bookmarkEnd w:id="4"/>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5" w:name="_heading=h.ftj7vaqoric" w:colFirst="0" w:colLast="0"/>
            <w:bookmarkEnd w:id="5"/>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120 (ста двадцяти)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згідно  з пунктом 28  та пунктом 44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Підстави, </w:t>
            </w:r>
            <w:r>
              <w:rPr>
                <w:rFonts w:ascii="Times New Roman" w:hAnsi="Times New Roman" w:eastAsia="Times New Roman" w:cs="Times New Roman"/>
                <w:b/>
                <w:sz w:val="24"/>
                <w:szCs w:val="24"/>
              </w:rPr>
              <w:t>визначені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 xml:space="preserve">Додатку 2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w:t>
            </w:r>
            <w:r>
              <w:rPr>
                <w:rFonts w:ascii="Times New Roman" w:hAnsi="Times New Roman" w:eastAsia="Times New Roman" w:cs="Times New Roman"/>
                <w:b/>
                <w:color w:val="FF0000"/>
                <w:sz w:val="24"/>
                <w:szCs w:val="24"/>
              </w:rPr>
              <w:t xml:space="preserve"> </w:t>
            </w:r>
          </w:p>
        </w:tc>
        <w:tc>
          <w:tcPr>
            <w:tcW w:w="6420" w:type="dxa"/>
            <w:vAlign w:val="center"/>
          </w:tcPr>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w:t>
            </w:r>
            <w:r>
              <w:rPr>
                <w:rFonts w:ascii="Times New Roman" w:hAnsi="Times New Roman" w:eastAsia="Times New Roman" w:cs="Times New Roman"/>
                <w:b/>
                <w:sz w:val="24"/>
                <w:szCs w:val="24"/>
                <w:highlight w:val="none"/>
              </w:rPr>
              <w:t xml:space="preserve"> </w:t>
            </w:r>
            <w:r>
              <w:rPr>
                <w:rFonts w:hint="default" w:ascii="Times New Roman" w:hAnsi="Times New Roman" w:eastAsia="Times New Roman" w:cs="Times New Roman"/>
                <w:b/>
                <w:sz w:val="24"/>
                <w:szCs w:val="24"/>
                <w:highlight w:val="none"/>
                <w:lang w:val="uk-UA"/>
              </w:rPr>
              <w:t xml:space="preserve">02 </w:t>
            </w:r>
            <w:r>
              <w:rPr>
                <w:rFonts w:ascii="Times New Roman" w:hAnsi="Times New Roman" w:eastAsia="Times New Roman" w:cs="Times New Roman"/>
                <w:b/>
                <w:sz w:val="24"/>
                <w:szCs w:val="24"/>
                <w:highlight w:val="none"/>
                <w:lang w:val="uk-UA"/>
              </w:rPr>
              <w:t>квітня</w:t>
            </w:r>
            <w:r>
              <w:rPr>
                <w:rFonts w:ascii="Times New Roman" w:hAnsi="Times New Roman" w:eastAsia="Times New Roman" w:cs="Times New Roman"/>
                <w:b/>
                <w:sz w:val="24"/>
                <w:szCs w:val="24"/>
                <w:highlight w:val="none"/>
              </w:rPr>
              <w:t xml:space="preserve"> 2023 року</w:t>
            </w:r>
          </w:p>
          <w:p>
            <w:pPr>
              <w:widowControl w:val="0"/>
              <w:spacing w:after="0" w:line="240" w:lineRule="auto"/>
              <w:ind w:left="40" w:right="120"/>
              <w:jc w:val="both"/>
              <w:rPr>
                <w:rFonts w:ascii="Times New Roman" w:hAnsi="Times New Roman" w:eastAsia="Times New Roman" w:cs="Times New Roman"/>
                <w:sz w:val="24"/>
                <w:szCs w:val="24"/>
                <w:highlight w:val="magenta"/>
              </w:rPr>
            </w:pPr>
            <w:r>
              <w:rPr>
                <w:rFonts w:ascii="Times New Roman" w:hAnsi="Times New Roman" w:eastAsia="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відбуваються відповідно до пунктів 35, 37 і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проводяться без застосування електронного аукціону.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Критерії та методика оцінки визначаються відповідно до пункту 37 Особливостей.</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Ціна тендерної пропозиції </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 не приймається</w:t>
            </w:r>
            <w:r>
              <w:rPr>
                <w:rFonts w:ascii="Times New Roman" w:hAnsi="Times New Roman" w:eastAsia="Times New Roman" w:cs="Times New Roman"/>
                <w:i/>
                <w:color w:val="FF0000"/>
                <w:sz w:val="24"/>
                <w:szCs w:val="24"/>
                <w:u w:val="single"/>
              </w:rPr>
              <w:t xml:space="preserve">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b/>
                <w:sz w:val="24"/>
                <w:szCs w:val="24"/>
              </w:rPr>
              <w:t>товар</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b/>
                <w:sz w:val="24"/>
                <w:szCs w:val="24"/>
              </w:rPr>
              <w:t xml:space="preserve">поставити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sz w:val="24"/>
                <w:szCs w:val="24"/>
              </w:rPr>
              <w:t xml:space="preserve">товару </w:t>
            </w:r>
            <w:r>
              <w:rPr>
                <w:rFonts w:ascii="Times New Roman" w:hAnsi="Times New Roman" w:eastAsia="Times New Roman" w:cs="Times New Roman"/>
                <w:sz w:val="24"/>
                <w:szCs w:val="24"/>
              </w:rPr>
              <w:t>даного виду.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 xml:space="preserve">не може бути меншим ніж два робочі дні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Тендерна пропозиція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widowControl w:val="0"/>
              <w:spacing w:after="0" w:line="240"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sz w:val="24"/>
                <w:szCs w:val="24"/>
              </w:rPr>
              <w:t>— 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строк дії якої закінчився;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3) переможець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виконання договору про закупівлю, якщо таке забезпечення вимагалося замовником;</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 xml:space="preserve">не пізніш як через чотири дні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 xml:space="preserve">не може бути укладено раніше ніж через п’ять днів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w:t>
            </w:r>
          </w:p>
        </w:tc>
        <w:tc>
          <w:tcPr>
            <w:tcW w:w="6420" w:type="dxa"/>
            <w:vAlign w:val="center"/>
          </w:tcPr>
          <w:p>
            <w:pPr>
              <w:widowControl w:val="0"/>
              <w:spacing w:after="0" w:line="240" w:lineRule="auto"/>
              <w:jc w:val="both"/>
              <w:rPr>
                <w:rFonts w:ascii="Times New Roman" w:hAnsi="Times New Roman" w:eastAsia="Times New Roman" w:cs="Times New Roman"/>
                <w:color w:val="323232"/>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7" w:name="_heading=h.2s8eyo1" w:colFirst="0" w:colLast="0"/>
      <w:bookmarkEnd w:id="7"/>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Додатки: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1. Додаток 1 до тендерної документації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2. Додаток 2 до тендерної документації.</w:t>
      </w:r>
    </w:p>
    <w:p>
      <w:pPr>
        <w:spacing w:after="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3. Додаток 3 до тендерної документації </w:t>
      </w:r>
    </w:p>
    <w:p>
      <w:pPr>
        <w:spacing w:after="0"/>
        <w:rPr>
          <w:rFonts w:ascii="Times New Roman" w:hAnsi="Times New Roman" w:eastAsia="Times New Roman" w:cs="Times New Roman"/>
          <w:highlight w:val="white"/>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lang w:val="ru-RU"/>
        </w:rPr>
        <w:t>4</w:t>
      </w:r>
      <w:r>
        <w:rPr>
          <w:rFonts w:ascii="Times New Roman" w:hAnsi="Times New Roman" w:eastAsia="Times New Roman" w:cs="Times New Roman"/>
          <w:sz w:val="24"/>
          <w:szCs w:val="24"/>
          <w:highlight w:val="white"/>
        </w:rPr>
        <w:t>.</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4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5.</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5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r>
        <w:rPr>
          <w:rFonts w:hint="default" w:ascii="Times New Roman" w:hAnsi="Times New Roman" w:eastAsia="Times New Roman" w:cs="Times New Roman"/>
          <w:sz w:val="24"/>
          <w:szCs w:val="24"/>
          <w:highlight w:val="white"/>
          <w:lang w:val="uk-UA"/>
        </w:rPr>
        <w:t xml:space="preserve">                                               6. Додаток 6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p>
    <w:p>
      <w:pPr>
        <w:widowControl w:val="0"/>
        <w:spacing w:after="0" w:line="240" w:lineRule="auto"/>
        <w:jc w:val="both"/>
        <w:rPr>
          <w:rFonts w:ascii="Times New Roman" w:hAnsi="Times New Roman" w:eastAsia="Times New Roman" w:cs="Times New Roman"/>
          <w:sz w:val="24"/>
          <w:szCs w:val="24"/>
          <w:highlight w:val="white"/>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Liberation Serif">
    <w:altName w:val="Times New Roman"/>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 w:name="Noto 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14</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E3816"/>
    <w:multiLevelType w:val="multilevel"/>
    <w:tmpl w:val="02DE3816"/>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A5B62A2"/>
    <w:multiLevelType w:val="multilevel"/>
    <w:tmpl w:val="3A5B62A2"/>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7FE4484"/>
    <w:multiLevelType w:val="multilevel"/>
    <w:tmpl w:val="67FE44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2D"/>
    <w:rsid w:val="00040FD9"/>
    <w:rsid w:val="000E3D97"/>
    <w:rsid w:val="00174396"/>
    <w:rsid w:val="001E63C2"/>
    <w:rsid w:val="00206868"/>
    <w:rsid w:val="00214301"/>
    <w:rsid w:val="00337DA9"/>
    <w:rsid w:val="00354601"/>
    <w:rsid w:val="004130A5"/>
    <w:rsid w:val="00457386"/>
    <w:rsid w:val="0048376B"/>
    <w:rsid w:val="004D3244"/>
    <w:rsid w:val="00505DCE"/>
    <w:rsid w:val="00510DE3"/>
    <w:rsid w:val="00536D78"/>
    <w:rsid w:val="00565FDE"/>
    <w:rsid w:val="005F1BBD"/>
    <w:rsid w:val="0060447D"/>
    <w:rsid w:val="0065612D"/>
    <w:rsid w:val="00663811"/>
    <w:rsid w:val="007F2457"/>
    <w:rsid w:val="009708F1"/>
    <w:rsid w:val="009F796B"/>
    <w:rsid w:val="00A06780"/>
    <w:rsid w:val="00A349CD"/>
    <w:rsid w:val="00AE09CE"/>
    <w:rsid w:val="00BD244B"/>
    <w:rsid w:val="00C01E66"/>
    <w:rsid w:val="00CB18FE"/>
    <w:rsid w:val="00D31CE7"/>
    <w:rsid w:val="00D70FBB"/>
    <w:rsid w:val="00E224A3"/>
    <w:rsid w:val="00EB2C25"/>
    <w:rsid w:val="00EF517B"/>
    <w:rsid w:val="00F339C0"/>
    <w:rsid w:val="00F36541"/>
    <w:rsid w:val="00F45FEC"/>
    <w:rsid w:val="00FC0C67"/>
    <w:rsid w:val="00FC57A2"/>
    <w:rsid w:val="1F477898"/>
    <w:rsid w:val="395F496C"/>
    <w:rsid w:val="3F062E4E"/>
    <w:rsid w:val="3F713C13"/>
    <w:rsid w:val="4519390C"/>
    <w:rsid w:val="4A064990"/>
    <w:rsid w:val="68436B9A"/>
    <w:rsid w:val="7EDA3DBE"/>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Strong"/>
    <w:basedOn w:val="8"/>
    <w:qFormat/>
    <w:uiPriority w:val="0"/>
    <w:rPr>
      <w:b/>
      <w:bCs/>
    </w:rPr>
  </w:style>
  <w:style w:type="paragraph" w:styleId="12">
    <w:name w:val="Balloon Text"/>
    <w:basedOn w:val="1"/>
    <w:link w:val="20"/>
    <w:semiHidden/>
    <w:unhideWhenUsed/>
    <w:qFormat/>
    <w:uiPriority w:val="99"/>
    <w:pPr>
      <w:spacing w:after="0" w:line="240" w:lineRule="auto"/>
    </w:pPr>
    <w:rPr>
      <w:rFonts w:ascii="Segoe UI" w:hAnsi="Segoe UI" w:cs="Segoe UI"/>
      <w:sz w:val="18"/>
      <w:szCs w:val="18"/>
    </w:rPr>
  </w:style>
  <w:style w:type="paragraph" w:styleId="13">
    <w:name w:val="Title"/>
    <w:basedOn w:val="1"/>
    <w:next w:val="1"/>
    <w:qFormat/>
    <w:uiPriority w:val="10"/>
    <w:pPr>
      <w:keepNext/>
      <w:keepLines/>
      <w:spacing w:before="480" w:after="120"/>
    </w:pPr>
    <w:rPr>
      <w:b/>
      <w:sz w:val="72"/>
      <w:szCs w:val="72"/>
    </w:rPr>
  </w:style>
  <w:style w:type="paragraph" w:styleId="1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5">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6">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Normal"/>
    <w:qFormat/>
    <w:uiPriority w:val="0"/>
    <w:tblPr>
      <w:tblCellMar>
        <w:top w:w="0" w:type="dxa"/>
        <w:left w:w="0" w:type="dxa"/>
        <w:bottom w:w="0" w:type="dxa"/>
        <w:right w:w="0" w:type="dxa"/>
      </w:tblCellMar>
    </w:tblPr>
  </w:style>
  <w:style w:type="paragraph" w:styleId="18">
    <w:name w:val="List Paragraph"/>
    <w:basedOn w:val="1"/>
    <w:qFormat/>
    <w:uiPriority w:val="34"/>
    <w:pPr>
      <w:ind w:left="720"/>
      <w:contextualSpacing/>
    </w:pPr>
  </w:style>
  <w:style w:type="character" w:customStyle="1" w:styleId="19">
    <w:name w:val="Unresolved Mention"/>
    <w:basedOn w:val="8"/>
    <w:semiHidden/>
    <w:unhideWhenUsed/>
    <w:qFormat/>
    <w:uiPriority w:val="99"/>
    <w:rPr>
      <w:color w:val="605E5C"/>
      <w:shd w:val="clear" w:color="auto" w:fill="E1DFDD"/>
    </w:rPr>
  </w:style>
  <w:style w:type="character" w:customStyle="1" w:styleId="20">
    <w:name w:val="Текст выноски Знак"/>
    <w:basedOn w:val="8"/>
    <w:link w:val="12"/>
    <w:semiHidden/>
    <w:qFormat/>
    <w:uiPriority w:val="99"/>
    <w:rPr>
      <w:rFonts w:ascii="Segoe UI" w:hAnsi="Segoe UI" w:cs="Segoe UI"/>
      <w:sz w:val="18"/>
      <w:szCs w:val="18"/>
    </w:rPr>
  </w:style>
  <w:style w:type="character" w:customStyle="1" w:styleId="21">
    <w:name w:val="qowt-font2-timesnewroman"/>
    <w:qFormat/>
    <w:uiPriority w:val="99"/>
    <w:rPr>
      <w:rFonts w:cs="Times New Roman"/>
    </w:rPr>
  </w:style>
  <w:style w:type="paragraph" w:customStyle="1" w:styleId="22">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4">
    <w:name w:val="_Style 25"/>
    <w:basedOn w:val="17"/>
    <w:qFormat/>
    <w:uiPriority w:val="0"/>
    <w:pPr>
      <w:spacing w:after="0" w:line="240" w:lineRule="auto"/>
    </w:pPr>
    <w:tblPr>
      <w:tblCellMar>
        <w:top w:w="0" w:type="dxa"/>
        <w:left w:w="108" w:type="dxa"/>
        <w:bottom w:w="0" w:type="dxa"/>
        <w:right w:w="108" w:type="dxa"/>
      </w:tblCellMar>
    </w:tblPr>
  </w:style>
  <w:style w:type="table" w:customStyle="1" w:styleId="25">
    <w:name w:val="_Style 26"/>
    <w:basedOn w:val="17"/>
    <w:qFormat/>
    <w:uiPriority w:val="0"/>
    <w:pPr>
      <w:spacing w:after="0" w:line="240" w:lineRule="auto"/>
    </w:pPr>
    <w:tblPr>
      <w:tblCellMar>
        <w:top w:w="0" w:type="dxa"/>
        <w:left w:w="108" w:type="dxa"/>
        <w:bottom w:w="0" w:type="dxa"/>
        <w:right w:w="108" w:type="dxa"/>
      </w:tblCellMar>
    </w:tblPr>
  </w:style>
  <w:style w:type="table" w:customStyle="1" w:styleId="26">
    <w:name w:val="_Style 27"/>
    <w:basedOn w:val="17"/>
    <w:qFormat/>
    <w:uiPriority w:val="0"/>
    <w:pPr>
      <w:spacing w:after="0" w:line="240" w:lineRule="auto"/>
    </w:pPr>
    <w:tblPr>
      <w:tblCellMar>
        <w:top w:w="0" w:type="dxa"/>
        <w:left w:w="108" w:type="dxa"/>
        <w:bottom w:w="0" w:type="dxa"/>
        <w:right w:w="108" w:type="dxa"/>
      </w:tblCellMar>
    </w:tblPr>
  </w:style>
  <w:style w:type="paragraph" w:customStyle="1" w:styleId="27">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28">
    <w:name w:val="_Style 29"/>
    <w:basedOn w:val="17"/>
    <w:qFormat/>
    <w:uiPriority w:val="0"/>
    <w:pPr>
      <w:spacing w:after="0" w:line="240" w:lineRule="auto"/>
    </w:pPr>
    <w:tblPr>
      <w:tblCellMar>
        <w:top w:w="0" w:type="dxa"/>
        <w:left w:w="108" w:type="dxa"/>
        <w:bottom w:w="0" w:type="dxa"/>
        <w:right w:w="108" w:type="dxa"/>
      </w:tblCellMar>
    </w:tblPr>
  </w:style>
  <w:style w:type="paragraph" w:customStyle="1" w:styleId="29">
    <w:name w:val="Standard"/>
    <w:qFormat/>
    <w:uiPriority w:val="99"/>
    <w:pPr>
      <w:suppressAutoHyphens/>
      <w:autoSpaceDN w:val="0"/>
      <w:spacing w:after="200" w:line="276" w:lineRule="auto"/>
    </w:pPr>
    <w:rPr>
      <w:rFonts w:ascii="Calibri" w:hAnsi="Calibri" w:eastAsia="Calibri" w:cs="Calibri"/>
      <w:kern w:val="3"/>
      <w:sz w:val="22"/>
      <w:szCs w:val="22"/>
      <w:lang w:val="ru-RU" w:eastAsia="zh-CN" w:bidi="ar-SA"/>
    </w:rPr>
  </w:style>
  <w:style w:type="character" w:customStyle="1" w:styleId="30">
    <w:name w:val="Виділення1"/>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FAA39681-9CAB-4408-954E-729FA6618356}">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7980</Words>
  <Characters>45492</Characters>
  <Lines>379</Lines>
  <Paragraphs>106</Paragraphs>
  <TotalTime>8</TotalTime>
  <ScaleCrop>false</ScaleCrop>
  <LinksUpToDate>false</LinksUpToDate>
  <CharactersWithSpaces>53366</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2023-03-08T09:08:00Z</dcterms:created>
  <dc:creator>userua12</dc:creator>
  <cp:lastModifiedBy>Юлія Щеглова</cp:lastModifiedBy>
  <dcterms:modified xsi:type="dcterms:W3CDTF">2023-03-28T07:29:09Z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3C7809BCD1684C08BCCEFE996066308B</vt:lpwstr>
  </property>
</Properties>
</file>